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555983" w:rsidTr="00656E81">
        <w:trPr>
          <w:jc w:val="center"/>
        </w:trPr>
        <w:tc>
          <w:tcPr>
            <w:tcW w:w="9866" w:type="dxa"/>
          </w:tcPr>
          <w:p w:rsidR="00555983" w:rsidRDefault="00555983" w:rsidP="00656E81">
            <w:pPr>
              <w:rPr>
                <w:i/>
              </w:rPr>
            </w:pPr>
            <w:bookmarkStart w:id="0" w:name="_GoBack" w:colFirst="0" w:colLast="0"/>
            <w:r>
              <w:rPr>
                <w:b/>
                <w:sz w:val="28"/>
              </w:rPr>
              <w:t>D</w:t>
            </w:r>
            <w:r w:rsidRPr="003B0BFE">
              <w:rPr>
                <w:b/>
                <w:sz w:val="28"/>
              </w:rPr>
              <w:t xml:space="preserve">evelopment </w:t>
            </w:r>
            <w:r>
              <w:rPr>
                <w:b/>
                <w:sz w:val="28"/>
              </w:rPr>
              <w:t>information</w:t>
            </w:r>
            <w:r w:rsidRPr="003B0BF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f</w:t>
            </w:r>
            <w:r w:rsidRPr="003B0BFE">
              <w:rPr>
                <w:b/>
                <w:sz w:val="28"/>
              </w:rPr>
              <w:t xml:space="preserve">orm – </w:t>
            </w:r>
            <w:r>
              <w:rPr>
                <w:b/>
                <w:sz w:val="28"/>
              </w:rPr>
              <w:t>W</w:t>
            </w:r>
            <w:r w:rsidRPr="008E139A">
              <w:rPr>
                <w:b/>
                <w:sz w:val="28"/>
              </w:rPr>
              <w:t xml:space="preserve">astewater </w:t>
            </w:r>
            <w:r>
              <w:rPr>
                <w:b/>
                <w:sz w:val="28"/>
              </w:rPr>
              <w:t>n</w:t>
            </w:r>
            <w:r w:rsidRPr="008E139A">
              <w:rPr>
                <w:b/>
                <w:sz w:val="28"/>
              </w:rPr>
              <w:t xml:space="preserve">etwork </w:t>
            </w:r>
            <w:r>
              <w:rPr>
                <w:b/>
                <w:sz w:val="28"/>
              </w:rPr>
              <w:t>pl</w:t>
            </w:r>
            <w:r w:rsidRPr="008E139A">
              <w:rPr>
                <w:b/>
                <w:sz w:val="28"/>
              </w:rPr>
              <w:t>anning</w:t>
            </w:r>
            <w:r>
              <w:rPr>
                <w:b/>
                <w:sz w:val="28"/>
              </w:rPr>
              <w:t xml:space="preserve"> summary a</w:t>
            </w:r>
            <w:r w:rsidRPr="003B0BFE">
              <w:rPr>
                <w:b/>
                <w:sz w:val="28"/>
              </w:rPr>
              <w:t>ssessment</w:t>
            </w:r>
          </w:p>
        </w:tc>
      </w:tr>
    </w:tbl>
    <w:bookmarkEnd w:id="0"/>
    <w:p w:rsidR="00555983" w:rsidRDefault="00555983" w:rsidP="00555983">
      <w:pPr>
        <w:spacing w:after="0"/>
        <w:jc w:val="center"/>
        <w:rPr>
          <w:i/>
        </w:rPr>
      </w:pPr>
      <w:r>
        <w:rPr>
          <w:i/>
        </w:rPr>
        <w:t>Information to be completed by Developer/ Engineering Consultant</w:t>
      </w:r>
    </w:p>
    <w:tbl>
      <w:tblPr>
        <w:tblStyle w:val="TableGrid"/>
        <w:tblpPr w:leftFromText="180" w:rightFromText="180" w:vertAnchor="page" w:horzAnchor="margin" w:tblpXSpec="center" w:tblpY="2639"/>
        <w:tblW w:w="9889" w:type="dxa"/>
        <w:tblLook w:val="01E0" w:firstRow="1" w:lastRow="1" w:firstColumn="1" w:lastColumn="1" w:noHBand="0" w:noVBand="0"/>
      </w:tblPr>
      <w:tblGrid>
        <w:gridCol w:w="3510"/>
        <w:gridCol w:w="2302"/>
        <w:gridCol w:w="4077"/>
      </w:tblGrid>
      <w:tr w:rsidR="00555983" w:rsidRPr="003B0BFE" w:rsidTr="00656E81">
        <w:tc>
          <w:tcPr>
            <w:tcW w:w="3510" w:type="dxa"/>
            <w:shd w:val="clear" w:color="auto" w:fill="F2F2F2" w:themeFill="background1" w:themeFillShade="F2"/>
          </w:tcPr>
          <w:p w:rsidR="00555983" w:rsidRPr="00074A4E" w:rsidRDefault="00555983" w:rsidP="00656E81">
            <w:pPr>
              <w:rPr>
                <w:b/>
                <w:szCs w:val="20"/>
              </w:rPr>
            </w:pPr>
            <w:r w:rsidRPr="00074A4E">
              <w:rPr>
                <w:b/>
                <w:szCs w:val="20"/>
              </w:rPr>
              <w:t>Development consideration</w:t>
            </w:r>
          </w:p>
        </w:tc>
        <w:tc>
          <w:tcPr>
            <w:tcW w:w="2302" w:type="dxa"/>
            <w:shd w:val="pct5" w:color="auto" w:fill="auto"/>
          </w:tcPr>
          <w:p w:rsidR="00555983" w:rsidRPr="00074A4E" w:rsidRDefault="00555983" w:rsidP="00656E81">
            <w:pPr>
              <w:rPr>
                <w:b/>
                <w:szCs w:val="20"/>
              </w:rPr>
            </w:pPr>
            <w:r w:rsidRPr="00074A4E">
              <w:rPr>
                <w:b/>
                <w:szCs w:val="20"/>
              </w:rPr>
              <w:t>Description</w:t>
            </w:r>
          </w:p>
        </w:tc>
        <w:tc>
          <w:tcPr>
            <w:tcW w:w="4077" w:type="dxa"/>
            <w:shd w:val="pct5" w:color="auto" w:fill="auto"/>
          </w:tcPr>
          <w:p w:rsidR="00555983" w:rsidRPr="00074A4E" w:rsidRDefault="00555983" w:rsidP="00656E81">
            <w:pPr>
              <w:rPr>
                <w:b/>
                <w:szCs w:val="20"/>
              </w:rPr>
            </w:pPr>
            <w:r w:rsidRPr="00074A4E">
              <w:rPr>
                <w:b/>
                <w:szCs w:val="20"/>
              </w:rPr>
              <w:t>Comments</w:t>
            </w:r>
          </w:p>
        </w:tc>
      </w:tr>
      <w:tr w:rsidR="00555983" w:rsidRPr="003B0BFE" w:rsidTr="00656E81">
        <w:tc>
          <w:tcPr>
            <w:tcW w:w="3510" w:type="dxa"/>
            <w:shd w:val="clear" w:color="auto" w:fill="F2F2F2" w:themeFill="background1" w:themeFillShade="F2"/>
          </w:tcPr>
          <w:p w:rsidR="00555983" w:rsidRPr="00074A4E" w:rsidRDefault="00555983" w:rsidP="00656E81">
            <w:pPr>
              <w:rPr>
                <w:b/>
                <w:szCs w:val="20"/>
              </w:rPr>
            </w:pPr>
            <w:r w:rsidRPr="00074A4E">
              <w:rPr>
                <w:b/>
                <w:szCs w:val="20"/>
              </w:rPr>
              <w:t>Query status</w:t>
            </w:r>
          </w:p>
        </w:tc>
        <w:tc>
          <w:tcPr>
            <w:tcW w:w="2302" w:type="dxa"/>
          </w:tcPr>
          <w:p w:rsidR="00555983" w:rsidRPr="00074A4E" w:rsidRDefault="00555983" w:rsidP="00656E81">
            <w:pPr>
              <w:rPr>
                <w:szCs w:val="20"/>
              </w:rPr>
            </w:pPr>
          </w:p>
        </w:tc>
        <w:tc>
          <w:tcPr>
            <w:tcW w:w="4077" w:type="dxa"/>
          </w:tcPr>
          <w:p w:rsidR="00555983" w:rsidRPr="00074A4E" w:rsidRDefault="00555983" w:rsidP="00656E81">
            <w:pPr>
              <w:rPr>
                <w:i/>
                <w:szCs w:val="20"/>
              </w:rPr>
            </w:pPr>
            <w:r w:rsidRPr="00074A4E">
              <w:rPr>
                <w:i/>
                <w:szCs w:val="20"/>
              </w:rPr>
              <w:t>Pre-purchase enquiry / Enquiry to support Plan Change application / Pre-application enquiry / Resource Consent application / Engineering Plan approval.</w:t>
            </w:r>
          </w:p>
        </w:tc>
      </w:tr>
      <w:tr w:rsidR="00555983" w:rsidRPr="003B0BFE" w:rsidTr="00656E81">
        <w:tc>
          <w:tcPr>
            <w:tcW w:w="3510" w:type="dxa"/>
            <w:shd w:val="clear" w:color="auto" w:fill="F2F2F2" w:themeFill="background1" w:themeFillShade="F2"/>
          </w:tcPr>
          <w:p w:rsidR="00555983" w:rsidRPr="00074A4E" w:rsidRDefault="00555983" w:rsidP="00656E81">
            <w:pPr>
              <w:rPr>
                <w:b/>
                <w:szCs w:val="20"/>
              </w:rPr>
            </w:pPr>
            <w:r w:rsidRPr="00074A4E">
              <w:rPr>
                <w:b/>
                <w:szCs w:val="20"/>
              </w:rPr>
              <w:t>Query submission date</w:t>
            </w:r>
          </w:p>
        </w:tc>
        <w:tc>
          <w:tcPr>
            <w:tcW w:w="2302" w:type="dxa"/>
          </w:tcPr>
          <w:p w:rsidR="00555983" w:rsidRPr="00074A4E" w:rsidRDefault="00555983" w:rsidP="00656E81">
            <w:pPr>
              <w:rPr>
                <w:szCs w:val="20"/>
              </w:rPr>
            </w:pPr>
          </w:p>
        </w:tc>
        <w:tc>
          <w:tcPr>
            <w:tcW w:w="4077" w:type="dxa"/>
          </w:tcPr>
          <w:p w:rsidR="00555983" w:rsidRPr="00074A4E" w:rsidRDefault="00555983" w:rsidP="00656E81">
            <w:pPr>
              <w:rPr>
                <w:szCs w:val="20"/>
              </w:rPr>
            </w:pPr>
          </w:p>
        </w:tc>
      </w:tr>
      <w:tr w:rsidR="00555983" w:rsidRPr="003B0BFE" w:rsidTr="00656E81">
        <w:tc>
          <w:tcPr>
            <w:tcW w:w="3510" w:type="dxa"/>
            <w:shd w:val="clear" w:color="auto" w:fill="F2F2F2" w:themeFill="background1" w:themeFillShade="F2"/>
          </w:tcPr>
          <w:p w:rsidR="00555983" w:rsidRPr="00074A4E" w:rsidRDefault="00555983" w:rsidP="00656E81">
            <w:pPr>
              <w:rPr>
                <w:szCs w:val="20"/>
              </w:rPr>
            </w:pPr>
            <w:r w:rsidRPr="00074A4E">
              <w:rPr>
                <w:b/>
                <w:szCs w:val="20"/>
              </w:rPr>
              <w:t>Address</w:t>
            </w:r>
          </w:p>
        </w:tc>
        <w:tc>
          <w:tcPr>
            <w:tcW w:w="2302" w:type="dxa"/>
          </w:tcPr>
          <w:p w:rsidR="00555983" w:rsidRPr="00074A4E" w:rsidRDefault="00555983" w:rsidP="00656E81">
            <w:pPr>
              <w:rPr>
                <w:szCs w:val="20"/>
              </w:rPr>
            </w:pPr>
          </w:p>
        </w:tc>
        <w:tc>
          <w:tcPr>
            <w:tcW w:w="4077" w:type="dxa"/>
          </w:tcPr>
          <w:p w:rsidR="00555983" w:rsidRPr="00074A4E" w:rsidRDefault="00555983" w:rsidP="00656E81">
            <w:pPr>
              <w:rPr>
                <w:b/>
                <w:i/>
                <w:szCs w:val="20"/>
              </w:rPr>
            </w:pPr>
            <w:r w:rsidRPr="00074A4E">
              <w:rPr>
                <w:i/>
                <w:szCs w:val="20"/>
              </w:rPr>
              <w:t>Include suburb</w:t>
            </w:r>
          </w:p>
        </w:tc>
      </w:tr>
      <w:tr w:rsidR="00555983" w:rsidRPr="003B0BFE" w:rsidTr="00656E81">
        <w:trPr>
          <w:trHeight w:val="2262"/>
        </w:trPr>
        <w:tc>
          <w:tcPr>
            <w:tcW w:w="3510" w:type="dxa"/>
            <w:shd w:val="clear" w:color="auto" w:fill="F2F2F2" w:themeFill="background1" w:themeFillShade="F2"/>
          </w:tcPr>
          <w:p w:rsidR="00555983" w:rsidRPr="00074A4E" w:rsidRDefault="00555983" w:rsidP="00656E81">
            <w:pPr>
              <w:rPr>
                <w:szCs w:val="20"/>
              </w:rPr>
            </w:pPr>
            <w:r w:rsidRPr="00074A4E">
              <w:rPr>
                <w:b/>
                <w:szCs w:val="20"/>
              </w:rPr>
              <w:t>Attach layout plan</w:t>
            </w:r>
          </w:p>
        </w:tc>
        <w:tc>
          <w:tcPr>
            <w:tcW w:w="2302" w:type="dxa"/>
          </w:tcPr>
          <w:p w:rsidR="00555983" w:rsidRPr="00074A4E" w:rsidRDefault="00555983" w:rsidP="00656E81">
            <w:pPr>
              <w:rPr>
                <w:szCs w:val="20"/>
              </w:rPr>
            </w:pPr>
          </w:p>
        </w:tc>
        <w:tc>
          <w:tcPr>
            <w:tcW w:w="4077" w:type="dxa"/>
          </w:tcPr>
          <w:p w:rsidR="00555983" w:rsidRPr="00074A4E" w:rsidRDefault="00555983" w:rsidP="00656E81">
            <w:pPr>
              <w:rPr>
                <w:i/>
                <w:szCs w:val="20"/>
              </w:rPr>
            </w:pPr>
            <w:r w:rsidRPr="00074A4E">
              <w:rPr>
                <w:i/>
                <w:szCs w:val="20"/>
              </w:rPr>
              <w:t>Plan must clearly show proposed development site and include:</w:t>
            </w:r>
          </w:p>
          <w:p w:rsidR="00555983" w:rsidRPr="00074A4E" w:rsidRDefault="00555983" w:rsidP="0055598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426" w:hanging="284"/>
              <w:jc w:val="left"/>
              <w:textAlignment w:val="baseline"/>
              <w:rPr>
                <w:i/>
                <w:szCs w:val="20"/>
              </w:rPr>
            </w:pPr>
            <w:r w:rsidRPr="00074A4E">
              <w:rPr>
                <w:i/>
                <w:szCs w:val="20"/>
              </w:rPr>
              <w:t>Aerial photograph with elevation contours (Note 1)</w:t>
            </w:r>
          </w:p>
          <w:p w:rsidR="00555983" w:rsidRPr="00074A4E" w:rsidRDefault="00555983" w:rsidP="0055598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426" w:hanging="284"/>
              <w:jc w:val="left"/>
              <w:textAlignment w:val="baseline"/>
              <w:rPr>
                <w:i/>
                <w:szCs w:val="20"/>
              </w:rPr>
            </w:pPr>
            <w:r w:rsidRPr="00074A4E">
              <w:rPr>
                <w:i/>
                <w:szCs w:val="20"/>
              </w:rPr>
              <w:t>Road names</w:t>
            </w:r>
          </w:p>
          <w:p w:rsidR="00555983" w:rsidRPr="00074A4E" w:rsidRDefault="00555983" w:rsidP="0055598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426" w:hanging="284"/>
              <w:jc w:val="left"/>
              <w:textAlignment w:val="baseline"/>
              <w:rPr>
                <w:i/>
                <w:szCs w:val="20"/>
              </w:rPr>
            </w:pPr>
            <w:r w:rsidRPr="00074A4E">
              <w:rPr>
                <w:i/>
                <w:szCs w:val="20"/>
              </w:rPr>
              <w:t>Boundary of development</w:t>
            </w:r>
          </w:p>
          <w:p w:rsidR="00555983" w:rsidRPr="00074A4E" w:rsidRDefault="00555983" w:rsidP="0055598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426" w:hanging="284"/>
              <w:jc w:val="left"/>
              <w:textAlignment w:val="baseline"/>
              <w:rPr>
                <w:i/>
                <w:szCs w:val="20"/>
              </w:rPr>
            </w:pPr>
            <w:r w:rsidRPr="00074A4E">
              <w:rPr>
                <w:i/>
                <w:szCs w:val="20"/>
              </w:rPr>
              <w:t>Preferred point of connection to existing water supply and wastewater asset.</w:t>
            </w:r>
          </w:p>
        </w:tc>
      </w:tr>
      <w:tr w:rsidR="00555983" w:rsidRPr="003B0BFE" w:rsidTr="00656E81">
        <w:trPr>
          <w:trHeight w:val="585"/>
        </w:trPr>
        <w:tc>
          <w:tcPr>
            <w:tcW w:w="3510" w:type="dxa"/>
            <w:shd w:val="clear" w:color="auto" w:fill="F2F2F2" w:themeFill="background1" w:themeFillShade="F2"/>
          </w:tcPr>
          <w:p w:rsidR="00555983" w:rsidRPr="00074A4E" w:rsidRDefault="00555983" w:rsidP="00656E81">
            <w:pPr>
              <w:rPr>
                <w:b/>
                <w:szCs w:val="20"/>
              </w:rPr>
            </w:pPr>
            <w:r w:rsidRPr="00074A4E">
              <w:rPr>
                <w:b/>
                <w:szCs w:val="20"/>
              </w:rPr>
              <w:t>Current land use</w:t>
            </w:r>
          </w:p>
        </w:tc>
        <w:tc>
          <w:tcPr>
            <w:tcW w:w="2302" w:type="dxa"/>
          </w:tcPr>
          <w:p w:rsidR="00555983" w:rsidRPr="00074A4E" w:rsidRDefault="00555983" w:rsidP="00656E81">
            <w:pPr>
              <w:rPr>
                <w:szCs w:val="20"/>
              </w:rPr>
            </w:pPr>
          </w:p>
        </w:tc>
        <w:tc>
          <w:tcPr>
            <w:tcW w:w="4077" w:type="dxa"/>
            <w:vMerge w:val="restart"/>
          </w:tcPr>
          <w:p w:rsidR="00555983" w:rsidRPr="00074A4E" w:rsidRDefault="00555983" w:rsidP="00656E81">
            <w:pPr>
              <w:rPr>
                <w:i/>
                <w:szCs w:val="20"/>
              </w:rPr>
            </w:pPr>
            <w:r w:rsidRPr="00074A4E">
              <w:rPr>
                <w:i/>
                <w:szCs w:val="20"/>
              </w:rPr>
              <w:t xml:space="preserve">Residential (single family dwellings) / Residential (multi-unit dwellings) / Residential (multi-storey apartment blocks) / Commercial / Industrial / Other (Please specify). </w:t>
            </w:r>
          </w:p>
        </w:tc>
      </w:tr>
      <w:tr w:rsidR="00555983" w:rsidRPr="003B0BFE" w:rsidTr="00656E81">
        <w:trPr>
          <w:trHeight w:val="53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5983" w:rsidRPr="00074A4E" w:rsidRDefault="00555983" w:rsidP="00656E81">
            <w:pPr>
              <w:rPr>
                <w:b/>
                <w:szCs w:val="20"/>
              </w:rPr>
            </w:pPr>
            <w:r w:rsidRPr="00074A4E">
              <w:rPr>
                <w:b/>
                <w:szCs w:val="20"/>
              </w:rPr>
              <w:t>Proposed land use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555983" w:rsidRPr="00074A4E" w:rsidRDefault="00555983" w:rsidP="00656E81">
            <w:pPr>
              <w:rPr>
                <w:szCs w:val="20"/>
              </w:rPr>
            </w:pPr>
          </w:p>
        </w:tc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555983" w:rsidRPr="00074A4E" w:rsidRDefault="00555983" w:rsidP="00656E81">
            <w:pPr>
              <w:rPr>
                <w:szCs w:val="20"/>
              </w:rPr>
            </w:pPr>
          </w:p>
        </w:tc>
      </w:tr>
      <w:tr w:rsidR="00555983" w:rsidRPr="003B0BFE" w:rsidTr="00656E81">
        <w:trPr>
          <w:trHeight w:val="48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5983" w:rsidRPr="00074A4E" w:rsidRDefault="00555983" w:rsidP="00656E81">
            <w:pPr>
              <w:rPr>
                <w:b/>
                <w:szCs w:val="20"/>
              </w:rPr>
            </w:pPr>
            <w:r w:rsidRPr="00074A4E">
              <w:rPr>
                <w:b/>
                <w:szCs w:val="20"/>
              </w:rPr>
              <w:t>Unitary plan zoning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555983" w:rsidRPr="00074A4E" w:rsidRDefault="00555983" w:rsidP="00656E81">
            <w:pPr>
              <w:rPr>
                <w:i/>
                <w:szCs w:val="20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555983" w:rsidRPr="00074A4E" w:rsidRDefault="00555983" w:rsidP="00656E81">
            <w:pPr>
              <w:rPr>
                <w:i/>
                <w:szCs w:val="20"/>
              </w:rPr>
            </w:pPr>
            <w:r w:rsidRPr="00074A4E">
              <w:rPr>
                <w:i/>
                <w:szCs w:val="20"/>
              </w:rPr>
              <w:t>Refer Auckland Unitary Plan</w:t>
            </w:r>
          </w:p>
        </w:tc>
      </w:tr>
      <w:tr w:rsidR="00555983" w:rsidRPr="003B0BFE" w:rsidTr="00656E81">
        <w:trPr>
          <w:trHeight w:val="48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5983" w:rsidRPr="00074A4E" w:rsidRDefault="00555983" w:rsidP="00656E81">
            <w:pPr>
              <w:rPr>
                <w:b/>
                <w:szCs w:val="20"/>
              </w:rPr>
            </w:pPr>
            <w:r w:rsidRPr="00074A4E">
              <w:rPr>
                <w:b/>
                <w:szCs w:val="20"/>
              </w:rPr>
              <w:t>Total development site area (m</w:t>
            </w:r>
            <w:r w:rsidRPr="00074A4E">
              <w:rPr>
                <w:b/>
                <w:szCs w:val="20"/>
                <w:vertAlign w:val="superscript"/>
              </w:rPr>
              <w:t>2</w:t>
            </w:r>
            <w:r w:rsidRPr="00074A4E">
              <w:rPr>
                <w:b/>
                <w:szCs w:val="20"/>
              </w:rPr>
              <w:t>/ hectares)</w:t>
            </w:r>
          </w:p>
          <w:p w:rsidR="00555983" w:rsidRPr="00074A4E" w:rsidRDefault="00555983" w:rsidP="00656E81">
            <w:pPr>
              <w:rPr>
                <w:b/>
                <w:szCs w:val="20"/>
              </w:rPr>
            </w:pPr>
            <w:r w:rsidRPr="00074A4E">
              <w:rPr>
                <w:szCs w:val="20"/>
              </w:rPr>
              <w:t>(i.e. Land area for residential developments)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555983" w:rsidRPr="00074A4E" w:rsidRDefault="00555983" w:rsidP="00656E81">
            <w:pPr>
              <w:rPr>
                <w:szCs w:val="20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555983" w:rsidRPr="00074A4E" w:rsidRDefault="00555983" w:rsidP="00656E81">
            <w:pPr>
              <w:rPr>
                <w:szCs w:val="20"/>
              </w:rPr>
            </w:pPr>
          </w:p>
        </w:tc>
      </w:tr>
      <w:tr w:rsidR="00555983" w:rsidRPr="003B0BFE" w:rsidTr="00656E81">
        <w:trPr>
          <w:trHeight w:val="41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5983" w:rsidRPr="00074A4E" w:rsidRDefault="00555983" w:rsidP="00656E81">
            <w:pPr>
              <w:rPr>
                <w:b/>
                <w:szCs w:val="20"/>
              </w:rPr>
            </w:pPr>
            <w:r w:rsidRPr="00074A4E">
              <w:rPr>
                <w:b/>
                <w:szCs w:val="20"/>
              </w:rPr>
              <w:t>Total development floor area (m</w:t>
            </w:r>
            <w:r w:rsidRPr="00074A4E">
              <w:rPr>
                <w:b/>
                <w:szCs w:val="20"/>
                <w:vertAlign w:val="superscript"/>
              </w:rPr>
              <w:t>2</w:t>
            </w:r>
            <w:r w:rsidRPr="00074A4E">
              <w:rPr>
                <w:b/>
                <w:szCs w:val="20"/>
              </w:rPr>
              <w:t xml:space="preserve">) </w:t>
            </w:r>
          </w:p>
          <w:p w:rsidR="00555983" w:rsidRPr="00074A4E" w:rsidRDefault="00555983" w:rsidP="00656E81">
            <w:pPr>
              <w:rPr>
                <w:b/>
                <w:szCs w:val="20"/>
              </w:rPr>
            </w:pPr>
            <w:r w:rsidRPr="00074A4E">
              <w:rPr>
                <w:szCs w:val="20"/>
              </w:rPr>
              <w:t>(i.e. Include all levels of multi-storey apartments and commercial developments)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555983" w:rsidRPr="00074A4E" w:rsidRDefault="00555983" w:rsidP="00656E81">
            <w:pPr>
              <w:rPr>
                <w:szCs w:val="20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555983" w:rsidRPr="00074A4E" w:rsidRDefault="00555983" w:rsidP="00656E81">
            <w:pPr>
              <w:rPr>
                <w:szCs w:val="20"/>
              </w:rPr>
            </w:pPr>
          </w:p>
        </w:tc>
      </w:tr>
      <w:tr w:rsidR="00555983" w:rsidRPr="003B0BFE" w:rsidTr="00656E81">
        <w:trPr>
          <w:trHeight w:val="417"/>
        </w:trPr>
        <w:tc>
          <w:tcPr>
            <w:tcW w:w="3510" w:type="dxa"/>
            <w:shd w:val="clear" w:color="auto" w:fill="F2F2F2" w:themeFill="background1" w:themeFillShade="F2"/>
          </w:tcPr>
          <w:p w:rsidR="00555983" w:rsidRPr="00074A4E" w:rsidRDefault="00555983" w:rsidP="00656E81">
            <w:pPr>
              <w:rPr>
                <w:b/>
                <w:szCs w:val="20"/>
              </w:rPr>
            </w:pPr>
            <w:r w:rsidRPr="00074A4E">
              <w:rPr>
                <w:b/>
                <w:szCs w:val="20"/>
              </w:rPr>
              <w:t xml:space="preserve">Number of proposed residential dwellings </w:t>
            </w:r>
          </w:p>
          <w:p w:rsidR="00555983" w:rsidRPr="00074A4E" w:rsidRDefault="00555983" w:rsidP="00656E81">
            <w:pPr>
              <w:rPr>
                <w:b/>
                <w:szCs w:val="20"/>
              </w:rPr>
            </w:pPr>
            <w:r w:rsidRPr="00074A4E">
              <w:rPr>
                <w:szCs w:val="20"/>
              </w:rPr>
              <w:t>(Typically consent or include ultimate if development is to be staged and consented at a future date)</w:t>
            </w:r>
          </w:p>
        </w:tc>
        <w:tc>
          <w:tcPr>
            <w:tcW w:w="2302" w:type="dxa"/>
          </w:tcPr>
          <w:p w:rsidR="00555983" w:rsidRPr="00074A4E" w:rsidRDefault="00555983" w:rsidP="00656E81">
            <w:pPr>
              <w:rPr>
                <w:i/>
                <w:szCs w:val="20"/>
              </w:rPr>
            </w:pPr>
            <w:r w:rsidRPr="00074A4E">
              <w:rPr>
                <w:i/>
                <w:szCs w:val="20"/>
              </w:rPr>
              <w:t>E.g. 12- storey residential apartment building with 4 units per storey is 48 residential households.</w:t>
            </w:r>
          </w:p>
          <w:p w:rsidR="00555983" w:rsidRPr="00074A4E" w:rsidRDefault="00555983" w:rsidP="00656E81">
            <w:pPr>
              <w:rPr>
                <w:szCs w:val="20"/>
              </w:rPr>
            </w:pPr>
          </w:p>
        </w:tc>
        <w:tc>
          <w:tcPr>
            <w:tcW w:w="4077" w:type="dxa"/>
          </w:tcPr>
          <w:p w:rsidR="00555983" w:rsidRPr="00074A4E" w:rsidRDefault="00555983" w:rsidP="00656E81">
            <w:pPr>
              <w:rPr>
                <w:i/>
                <w:szCs w:val="20"/>
              </w:rPr>
            </w:pPr>
            <w:r w:rsidRPr="00074A4E">
              <w:rPr>
                <w:i/>
                <w:szCs w:val="20"/>
              </w:rPr>
              <w:t>Include type and number of bedrooms for residential dwellings:</w:t>
            </w:r>
          </w:p>
          <w:p w:rsidR="00555983" w:rsidRPr="00074A4E" w:rsidRDefault="00555983" w:rsidP="00656E81">
            <w:pPr>
              <w:rPr>
                <w:i/>
                <w:szCs w:val="20"/>
              </w:rPr>
            </w:pPr>
          </w:p>
          <w:p w:rsidR="00555983" w:rsidRPr="00074A4E" w:rsidRDefault="00555983" w:rsidP="00656E81">
            <w:pPr>
              <w:rPr>
                <w:i/>
                <w:szCs w:val="20"/>
              </w:rPr>
            </w:pPr>
            <w:r w:rsidRPr="00074A4E">
              <w:rPr>
                <w:i/>
                <w:szCs w:val="20"/>
                <w:u w:val="single"/>
              </w:rPr>
              <w:t>Type</w:t>
            </w:r>
            <w:r w:rsidRPr="00074A4E">
              <w:rPr>
                <w:i/>
                <w:szCs w:val="20"/>
              </w:rPr>
              <w:t xml:space="preserve">:            </w:t>
            </w:r>
            <w:r>
              <w:rPr>
                <w:i/>
                <w:szCs w:val="20"/>
              </w:rPr>
              <w:t xml:space="preserve">               </w:t>
            </w:r>
            <w:r w:rsidRPr="00074A4E">
              <w:rPr>
                <w:i/>
                <w:szCs w:val="20"/>
              </w:rPr>
              <w:t xml:space="preserve">   </w:t>
            </w:r>
            <w:r w:rsidRPr="00074A4E">
              <w:rPr>
                <w:i/>
                <w:szCs w:val="20"/>
                <w:u w:val="single"/>
              </w:rPr>
              <w:t>Quantity:</w:t>
            </w:r>
          </w:p>
          <w:p w:rsidR="00555983" w:rsidRPr="00074A4E" w:rsidRDefault="00555983" w:rsidP="00656E81">
            <w:pPr>
              <w:rPr>
                <w:i/>
                <w:szCs w:val="20"/>
              </w:rPr>
            </w:pPr>
            <w:r w:rsidRPr="00074A4E">
              <w:rPr>
                <w:i/>
                <w:szCs w:val="20"/>
              </w:rPr>
              <w:t>1 bed</w:t>
            </w:r>
          </w:p>
          <w:p w:rsidR="00555983" w:rsidRPr="00074A4E" w:rsidRDefault="00555983" w:rsidP="00656E81">
            <w:pPr>
              <w:rPr>
                <w:i/>
                <w:szCs w:val="20"/>
              </w:rPr>
            </w:pPr>
            <w:r w:rsidRPr="00074A4E">
              <w:rPr>
                <w:i/>
                <w:szCs w:val="20"/>
              </w:rPr>
              <w:t>2 bed</w:t>
            </w:r>
          </w:p>
          <w:p w:rsidR="00555983" w:rsidRPr="00074A4E" w:rsidRDefault="00555983" w:rsidP="00656E81">
            <w:pPr>
              <w:rPr>
                <w:i/>
                <w:szCs w:val="20"/>
              </w:rPr>
            </w:pPr>
            <w:r w:rsidRPr="00074A4E">
              <w:rPr>
                <w:i/>
                <w:szCs w:val="20"/>
              </w:rPr>
              <w:t>3 bed</w:t>
            </w:r>
          </w:p>
          <w:p w:rsidR="00555983" w:rsidRPr="00074A4E" w:rsidRDefault="00555983" w:rsidP="00656E81">
            <w:pPr>
              <w:rPr>
                <w:i/>
                <w:szCs w:val="20"/>
              </w:rPr>
            </w:pPr>
            <w:r w:rsidRPr="00074A4E">
              <w:rPr>
                <w:i/>
                <w:szCs w:val="20"/>
              </w:rPr>
              <w:t>4bed</w:t>
            </w:r>
          </w:p>
          <w:p w:rsidR="00555983" w:rsidRPr="00074A4E" w:rsidRDefault="00555983" w:rsidP="00656E81">
            <w:pPr>
              <w:rPr>
                <w:szCs w:val="20"/>
              </w:rPr>
            </w:pPr>
            <w:r w:rsidRPr="00074A4E">
              <w:rPr>
                <w:i/>
                <w:szCs w:val="20"/>
              </w:rPr>
              <w:t>5+bed</w:t>
            </w:r>
          </w:p>
        </w:tc>
      </w:tr>
      <w:tr w:rsidR="00555983" w:rsidRPr="003B0BFE" w:rsidTr="00656E81">
        <w:trPr>
          <w:trHeight w:val="41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5983" w:rsidRPr="00074A4E" w:rsidRDefault="00555983" w:rsidP="00656E81">
            <w:pPr>
              <w:rPr>
                <w:szCs w:val="20"/>
              </w:rPr>
            </w:pPr>
            <w:r w:rsidRPr="00074A4E">
              <w:rPr>
                <w:b/>
                <w:szCs w:val="20"/>
              </w:rPr>
              <w:t xml:space="preserve">Note: (1) </w:t>
            </w:r>
            <w:r w:rsidRPr="00074A4E">
              <w:rPr>
                <w:szCs w:val="20"/>
              </w:rPr>
              <w:t>Watercare’s GIS Viewer for Asset Data Query and Land Development/ Subdivision can be used to display aerial photography and land contour information.</w:t>
            </w:r>
          </w:p>
        </w:tc>
      </w:tr>
    </w:tbl>
    <w:p w:rsidR="00555983" w:rsidRDefault="00555983" w:rsidP="00555983">
      <w:pPr>
        <w:spacing w:after="0"/>
        <w:ind w:left="-567"/>
        <w:jc w:val="right"/>
        <w:rPr>
          <w:i/>
        </w:rPr>
      </w:pPr>
      <w:r>
        <w:rPr>
          <w:i/>
        </w:rPr>
        <w:t>(This section should not be duplicated if both water and wastewater is applied. Refer to Chapter 6 of the CoP.)</w:t>
      </w:r>
    </w:p>
    <w:p w:rsidR="00555983" w:rsidRDefault="00555983" w:rsidP="00555983">
      <w:pPr>
        <w:ind w:left="-567"/>
        <w:rPr>
          <w:i/>
        </w:rPr>
      </w:pPr>
      <w:r w:rsidRPr="008463D6">
        <w:rPr>
          <w:i/>
        </w:rPr>
        <w:t xml:space="preserve">Refer to </w:t>
      </w:r>
      <w:r>
        <w:rPr>
          <w:i/>
        </w:rPr>
        <w:t xml:space="preserve">the Auckland Code of Practice </w:t>
      </w:r>
      <w:r w:rsidRPr="008463D6">
        <w:rPr>
          <w:i/>
        </w:rPr>
        <w:t>for Land Development and Subdivision</w:t>
      </w:r>
      <w:r>
        <w:rPr>
          <w:i/>
        </w:rPr>
        <w:t xml:space="preserve"> chapter 5: Wastewater, when completing this form:</w:t>
      </w:r>
    </w:p>
    <w:tbl>
      <w:tblPr>
        <w:tblStyle w:val="TableGrid"/>
        <w:tblW w:w="970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760"/>
        <w:gridCol w:w="2126"/>
        <w:gridCol w:w="2634"/>
        <w:gridCol w:w="3188"/>
      </w:tblGrid>
      <w:tr w:rsidR="00555983" w:rsidRPr="00F401F8" w:rsidTr="00656E81">
        <w:trPr>
          <w:trHeight w:val="591"/>
          <w:tblHeader/>
        </w:trPr>
        <w:tc>
          <w:tcPr>
            <w:tcW w:w="9708" w:type="dxa"/>
            <w:gridSpan w:val="4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555983" w:rsidRPr="00F401F8" w:rsidRDefault="00555983" w:rsidP="00656E8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Wastewater</w:t>
            </w:r>
            <w:r w:rsidRPr="00F401F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d</w:t>
            </w:r>
            <w:r w:rsidRPr="00F401F8">
              <w:rPr>
                <w:b/>
                <w:szCs w:val="24"/>
              </w:rPr>
              <w:t xml:space="preserve">evelopment </w:t>
            </w:r>
            <w:r>
              <w:rPr>
                <w:b/>
                <w:szCs w:val="24"/>
              </w:rPr>
              <w:t>a</w:t>
            </w:r>
            <w:r w:rsidRPr="00F401F8">
              <w:rPr>
                <w:b/>
                <w:szCs w:val="24"/>
              </w:rPr>
              <w:t>ssessment</w:t>
            </w:r>
          </w:p>
        </w:tc>
      </w:tr>
      <w:tr w:rsidR="00555983" w:rsidRPr="00F401F8" w:rsidTr="00656E81">
        <w:trPr>
          <w:trHeight w:val="429"/>
          <w:tblHeader/>
        </w:trPr>
        <w:tc>
          <w:tcPr>
            <w:tcW w:w="3886" w:type="dxa"/>
            <w:gridSpan w:val="2"/>
            <w:shd w:val="clear" w:color="auto" w:fill="F7CAAC" w:themeFill="accent2" w:themeFillTint="66"/>
          </w:tcPr>
          <w:p w:rsidR="00555983" w:rsidRPr="003C0008" w:rsidRDefault="00555983" w:rsidP="00656E81">
            <w:pPr>
              <w:rPr>
                <w:b/>
              </w:rPr>
            </w:pPr>
            <w:r w:rsidRPr="003C0008">
              <w:rPr>
                <w:b/>
              </w:rPr>
              <w:t>Design consideration</w:t>
            </w:r>
          </w:p>
        </w:tc>
        <w:tc>
          <w:tcPr>
            <w:tcW w:w="2634" w:type="dxa"/>
            <w:shd w:val="clear" w:color="auto" w:fill="F7CAAC" w:themeFill="accent2" w:themeFillTint="66"/>
          </w:tcPr>
          <w:p w:rsidR="00555983" w:rsidRPr="003C0008" w:rsidRDefault="00555983" w:rsidP="00656E81">
            <w:pPr>
              <w:tabs>
                <w:tab w:val="left" w:pos="1569"/>
              </w:tabs>
              <w:rPr>
                <w:b/>
              </w:rPr>
            </w:pPr>
            <w:r w:rsidRPr="003C0008">
              <w:rPr>
                <w:b/>
              </w:rPr>
              <w:t>Description</w:t>
            </w:r>
            <w:r>
              <w:rPr>
                <w:b/>
              </w:rPr>
              <w:tab/>
            </w:r>
          </w:p>
        </w:tc>
        <w:tc>
          <w:tcPr>
            <w:tcW w:w="3188" w:type="dxa"/>
            <w:shd w:val="clear" w:color="auto" w:fill="F7CAAC" w:themeFill="accent2" w:themeFillTint="66"/>
          </w:tcPr>
          <w:p w:rsidR="00555983" w:rsidRPr="003C0008" w:rsidRDefault="00555983" w:rsidP="00656E81">
            <w:pPr>
              <w:rPr>
                <w:b/>
              </w:rPr>
            </w:pPr>
            <w:r w:rsidRPr="003C0008">
              <w:rPr>
                <w:b/>
              </w:rPr>
              <w:t>Comments</w:t>
            </w:r>
          </w:p>
        </w:tc>
      </w:tr>
      <w:tr w:rsidR="00555983" w:rsidRPr="00F401F8" w:rsidTr="00656E81">
        <w:trPr>
          <w:trHeight w:val="1422"/>
        </w:trPr>
        <w:tc>
          <w:tcPr>
            <w:tcW w:w="1760" w:type="dxa"/>
            <w:vMerge w:val="restart"/>
            <w:shd w:val="clear" w:color="auto" w:fill="F7CAAC" w:themeFill="accent2" w:themeFillTint="66"/>
          </w:tcPr>
          <w:p w:rsidR="00555983" w:rsidRDefault="00555983" w:rsidP="00656E8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Existing site design flows - </w:t>
            </w:r>
          </w:p>
          <w:p w:rsidR="00555983" w:rsidRDefault="00555983" w:rsidP="00656E8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Pr="007A1816">
              <w:rPr>
                <w:rFonts w:cs="Arial"/>
                <w:b/>
              </w:rPr>
              <w:t>re-development</w:t>
            </w:r>
            <w:r>
              <w:rPr>
                <w:rFonts w:cs="Arial"/>
                <w:b/>
              </w:rPr>
              <w:t xml:space="preserve"> scenario</w:t>
            </w:r>
          </w:p>
          <w:p w:rsidR="00555983" w:rsidRDefault="00555983" w:rsidP="00656E81">
            <w:pPr>
              <w:rPr>
                <w:rFonts w:cs="Arial"/>
                <w:b/>
              </w:rPr>
            </w:pPr>
          </w:p>
          <w:p w:rsidR="00555983" w:rsidRPr="00A74E8F" w:rsidRDefault="00555983" w:rsidP="00656E81">
            <w:pPr>
              <w:rPr>
                <w:rFonts w:cs="Arial"/>
              </w:rPr>
            </w:pPr>
            <w:r w:rsidRPr="00471B46">
              <w:rPr>
                <w:rFonts w:cs="Arial"/>
                <w:sz w:val="18"/>
              </w:rPr>
              <w:t>(</w:t>
            </w:r>
            <w:r>
              <w:rPr>
                <w:rFonts w:cs="Arial"/>
                <w:sz w:val="18"/>
              </w:rPr>
              <w:t>I</w:t>
            </w:r>
            <w:r w:rsidRPr="00471B46">
              <w:rPr>
                <w:rFonts w:cs="Arial"/>
                <w:sz w:val="18"/>
              </w:rPr>
              <w:t>f site is currently undeveloped, write 0.00 L/s in the design flows for this section)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555983" w:rsidRPr="00471B46" w:rsidRDefault="00555983" w:rsidP="00656E81">
            <w:pPr>
              <w:rPr>
                <w:rFonts w:cs="Arial"/>
                <w:b/>
              </w:rPr>
            </w:pPr>
            <w:r w:rsidRPr="00471B46">
              <w:rPr>
                <w:rFonts w:cs="Arial"/>
                <w:b/>
              </w:rPr>
              <w:t>Residential Design Flows (L/s)</w:t>
            </w:r>
          </w:p>
        </w:tc>
        <w:tc>
          <w:tcPr>
            <w:tcW w:w="2634" w:type="dxa"/>
          </w:tcPr>
          <w:p w:rsidR="00555983" w:rsidRDefault="00555983" w:rsidP="00656E81">
            <w:pPr>
              <w:rPr>
                <w:sz w:val="18"/>
              </w:rPr>
            </w:pPr>
            <w:r w:rsidRPr="00471B46">
              <w:rPr>
                <w:sz w:val="18"/>
              </w:rPr>
              <w:t xml:space="preserve">Self-Cleansing Design Flow  </w:t>
            </w:r>
          </w:p>
          <w:p w:rsidR="00555983" w:rsidRDefault="00555983" w:rsidP="00656E81">
            <w:r>
              <w:t xml:space="preserve">= </w:t>
            </w:r>
          </w:p>
          <w:p w:rsidR="00555983" w:rsidRDefault="00555983" w:rsidP="00656E81"/>
          <w:p w:rsidR="00555983" w:rsidRDefault="00555983" w:rsidP="00656E81">
            <w:pPr>
              <w:rPr>
                <w:sz w:val="18"/>
              </w:rPr>
            </w:pPr>
            <w:r w:rsidRPr="00471B46">
              <w:rPr>
                <w:sz w:val="18"/>
              </w:rPr>
              <w:t>Peak Design Flow</w:t>
            </w:r>
            <w:r w:rsidRPr="00471B46" w:rsidDel="00952445">
              <w:rPr>
                <w:sz w:val="18"/>
              </w:rPr>
              <w:t xml:space="preserve"> </w:t>
            </w:r>
          </w:p>
          <w:p w:rsidR="00555983" w:rsidRDefault="00555983" w:rsidP="00656E81">
            <w:pPr>
              <w:rPr>
                <w:sz w:val="18"/>
              </w:rPr>
            </w:pPr>
            <w:r w:rsidRPr="00471B46">
              <w:rPr>
                <w:sz w:val="18"/>
              </w:rPr>
              <w:t>=</w:t>
            </w:r>
          </w:p>
          <w:p w:rsidR="00555983" w:rsidRPr="007B7844" w:rsidRDefault="00555983" w:rsidP="00656E81"/>
        </w:tc>
        <w:tc>
          <w:tcPr>
            <w:tcW w:w="3188" w:type="dxa"/>
            <w:vMerge w:val="restart"/>
          </w:tcPr>
          <w:p w:rsidR="00555983" w:rsidRDefault="00555983" w:rsidP="00656E81">
            <w:pPr>
              <w:rPr>
                <w:i/>
              </w:rPr>
            </w:pPr>
            <w:r w:rsidRPr="00F401F8">
              <w:rPr>
                <w:i/>
              </w:rPr>
              <w:t xml:space="preserve">Show calculations based on Watercare </w:t>
            </w:r>
            <w:r>
              <w:rPr>
                <w:i/>
              </w:rPr>
              <w:t>CoP.</w:t>
            </w:r>
          </w:p>
          <w:p w:rsidR="00555983" w:rsidRPr="00F401F8" w:rsidRDefault="00555983" w:rsidP="00656E81">
            <w:pPr>
              <w:rPr>
                <w:i/>
              </w:rPr>
            </w:pPr>
          </w:p>
          <w:p w:rsidR="00555983" w:rsidRDefault="00555983" w:rsidP="00656E81">
            <w:pPr>
              <w:rPr>
                <w:i/>
              </w:rPr>
            </w:pPr>
          </w:p>
          <w:p w:rsidR="00555983" w:rsidRPr="00DC014A" w:rsidRDefault="00555983" w:rsidP="00656E81">
            <w:pPr>
              <w:rPr>
                <w:i/>
                <w:u w:val="single"/>
              </w:rPr>
            </w:pPr>
            <w:r w:rsidRPr="00DC014A">
              <w:rPr>
                <w:i/>
                <w:u w:val="single"/>
              </w:rPr>
              <w:t>Ultimate development:</w:t>
            </w:r>
          </w:p>
          <w:p w:rsidR="00555983" w:rsidRPr="00DC014A" w:rsidRDefault="00555983" w:rsidP="00656E81">
            <w:pPr>
              <w:rPr>
                <w:i/>
                <w:sz w:val="18"/>
              </w:rPr>
            </w:pPr>
            <w:r w:rsidRPr="00DC014A">
              <w:rPr>
                <w:i/>
                <w:sz w:val="18"/>
              </w:rPr>
              <w:t xml:space="preserve">Ultimate development is where </w:t>
            </w:r>
            <w:r>
              <w:rPr>
                <w:i/>
                <w:sz w:val="18"/>
              </w:rPr>
              <w:t xml:space="preserve">further </w:t>
            </w:r>
            <w:r w:rsidRPr="00DC014A">
              <w:rPr>
                <w:i/>
                <w:sz w:val="18"/>
              </w:rPr>
              <w:t>development may / can / will occur upstream</w:t>
            </w:r>
            <w:r>
              <w:rPr>
                <w:i/>
                <w:sz w:val="18"/>
              </w:rPr>
              <w:t xml:space="preserve"> </w:t>
            </w:r>
            <w:r w:rsidRPr="00DC014A">
              <w:rPr>
                <w:i/>
                <w:sz w:val="18"/>
              </w:rPr>
              <w:t xml:space="preserve">/ or within the development site currently under consideration. </w:t>
            </w:r>
          </w:p>
          <w:p w:rsidR="00555983" w:rsidRPr="00DC014A" w:rsidRDefault="00555983" w:rsidP="00656E81">
            <w:pPr>
              <w:rPr>
                <w:i/>
                <w:sz w:val="18"/>
              </w:rPr>
            </w:pPr>
          </w:p>
          <w:p w:rsidR="00555983" w:rsidRPr="00DC014A" w:rsidRDefault="00555983" w:rsidP="00656E81">
            <w:pPr>
              <w:rPr>
                <w:i/>
                <w:sz w:val="18"/>
              </w:rPr>
            </w:pPr>
            <w:r w:rsidRPr="00DC014A">
              <w:rPr>
                <w:i/>
                <w:sz w:val="18"/>
              </w:rPr>
              <w:t>If relevant Ultimate Peak Design Flow is to be calculated and will include number of potential units/ lot.</w:t>
            </w:r>
          </w:p>
          <w:p w:rsidR="00555983" w:rsidRPr="00DC014A" w:rsidRDefault="00555983" w:rsidP="00656E81">
            <w:pPr>
              <w:rPr>
                <w:i/>
                <w:sz w:val="18"/>
              </w:rPr>
            </w:pPr>
          </w:p>
          <w:p w:rsidR="00555983" w:rsidRPr="00DC014A" w:rsidRDefault="00555983" w:rsidP="00656E81">
            <w:pPr>
              <w:rPr>
                <w:i/>
                <w:sz w:val="18"/>
              </w:rPr>
            </w:pPr>
          </w:p>
          <w:p w:rsidR="00555983" w:rsidRPr="00DC014A" w:rsidRDefault="00555983" w:rsidP="00656E81">
            <w:pPr>
              <w:rPr>
                <w:i/>
                <w:sz w:val="18"/>
              </w:rPr>
            </w:pPr>
            <w:r w:rsidRPr="00DC014A">
              <w:rPr>
                <w:i/>
                <w:sz w:val="18"/>
              </w:rPr>
              <w:t xml:space="preserve">For further guidance on whether this application needs to consider Ultimate </w:t>
            </w:r>
            <w:r>
              <w:rPr>
                <w:i/>
                <w:sz w:val="18"/>
              </w:rPr>
              <w:t>d</w:t>
            </w:r>
            <w:r w:rsidRPr="00DC014A">
              <w:rPr>
                <w:i/>
                <w:sz w:val="18"/>
              </w:rPr>
              <w:t xml:space="preserve">evelopment, refer </w:t>
            </w:r>
            <w:r>
              <w:rPr>
                <w:i/>
                <w:sz w:val="18"/>
              </w:rPr>
              <w:t xml:space="preserve">CoP </w:t>
            </w:r>
            <w:r w:rsidRPr="00DC014A">
              <w:rPr>
                <w:i/>
                <w:sz w:val="18"/>
              </w:rPr>
              <w:t xml:space="preserve">Sections: </w:t>
            </w:r>
          </w:p>
          <w:p w:rsidR="00555983" w:rsidRPr="00DC014A" w:rsidRDefault="00555983" w:rsidP="00656E81">
            <w:pPr>
              <w:rPr>
                <w:i/>
                <w:sz w:val="18"/>
              </w:rPr>
            </w:pPr>
          </w:p>
          <w:p w:rsidR="00555983" w:rsidRPr="00CB2A0D" w:rsidRDefault="00555983" w:rsidP="0055598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textAlignment w:val="baseline"/>
              <w:rPr>
                <w:i/>
                <w:sz w:val="18"/>
              </w:rPr>
            </w:pPr>
            <w:r w:rsidRPr="00CB2A0D">
              <w:rPr>
                <w:i/>
                <w:sz w:val="18"/>
              </w:rPr>
              <w:t>5.3.2 Structure Plan</w:t>
            </w:r>
          </w:p>
          <w:p w:rsidR="00555983" w:rsidRPr="00CB2A0D" w:rsidRDefault="00555983" w:rsidP="0055598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textAlignment w:val="baseline"/>
              <w:rPr>
                <w:i/>
                <w:sz w:val="18"/>
              </w:rPr>
            </w:pPr>
            <w:r w:rsidRPr="00CB2A0D">
              <w:rPr>
                <w:i/>
                <w:sz w:val="18"/>
              </w:rPr>
              <w:t>5.3.3 Future development</w:t>
            </w:r>
          </w:p>
          <w:p w:rsidR="00555983" w:rsidRPr="00CB2A0D" w:rsidRDefault="00555983" w:rsidP="0055598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textAlignment w:val="baseline"/>
              <w:rPr>
                <w:i/>
                <w:sz w:val="18"/>
              </w:rPr>
            </w:pPr>
            <w:r w:rsidRPr="00CB2A0D">
              <w:rPr>
                <w:i/>
                <w:sz w:val="18"/>
              </w:rPr>
              <w:t>5.3.4 System Design</w:t>
            </w:r>
          </w:p>
          <w:p w:rsidR="00555983" w:rsidRPr="00C34590" w:rsidRDefault="00555983" w:rsidP="00656E81">
            <w:pPr>
              <w:rPr>
                <w:i/>
                <w:sz w:val="18"/>
                <w:highlight w:val="yellow"/>
              </w:rPr>
            </w:pPr>
          </w:p>
          <w:p w:rsidR="00555983" w:rsidRPr="00C34590" w:rsidRDefault="00555983" w:rsidP="00656E81">
            <w:pPr>
              <w:rPr>
                <w:i/>
                <w:sz w:val="18"/>
                <w:highlight w:val="yellow"/>
              </w:rPr>
            </w:pPr>
          </w:p>
          <w:p w:rsidR="00555983" w:rsidRPr="00F401F8" w:rsidRDefault="00555983" w:rsidP="00656E81">
            <w:pPr>
              <w:rPr>
                <w:i/>
              </w:rPr>
            </w:pPr>
          </w:p>
        </w:tc>
      </w:tr>
      <w:tr w:rsidR="00555983" w:rsidRPr="00F401F8" w:rsidTr="00656E81">
        <w:trPr>
          <w:trHeight w:val="1163"/>
        </w:trPr>
        <w:tc>
          <w:tcPr>
            <w:tcW w:w="1760" w:type="dxa"/>
            <w:vMerge/>
            <w:shd w:val="clear" w:color="auto" w:fill="F7CAAC" w:themeFill="accent2" w:themeFillTint="66"/>
          </w:tcPr>
          <w:p w:rsidR="00555983" w:rsidRPr="007B7844" w:rsidRDefault="00555983" w:rsidP="00656E81">
            <w:pPr>
              <w:rPr>
                <w:rFonts w:cs="Arial"/>
                <w:b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:rsidR="00555983" w:rsidRPr="00471B46" w:rsidRDefault="00555983" w:rsidP="00656E81">
            <w:pPr>
              <w:rPr>
                <w:b/>
              </w:rPr>
            </w:pPr>
            <w:r w:rsidRPr="00471B46">
              <w:rPr>
                <w:rFonts w:cs="Arial"/>
                <w:b/>
              </w:rPr>
              <w:t>Non-Residential Design Flows (L/s)</w:t>
            </w:r>
          </w:p>
        </w:tc>
        <w:tc>
          <w:tcPr>
            <w:tcW w:w="2634" w:type="dxa"/>
          </w:tcPr>
          <w:p w:rsidR="00555983" w:rsidRDefault="00555983" w:rsidP="00656E81">
            <w:pPr>
              <w:rPr>
                <w:sz w:val="18"/>
              </w:rPr>
            </w:pPr>
            <w:r w:rsidRPr="007F7C49">
              <w:rPr>
                <w:sz w:val="18"/>
              </w:rPr>
              <w:t xml:space="preserve">Self-Cleansing Design Flow  </w:t>
            </w:r>
          </w:p>
          <w:p w:rsidR="00555983" w:rsidRDefault="00555983" w:rsidP="00656E81">
            <w:r>
              <w:t xml:space="preserve">= </w:t>
            </w:r>
          </w:p>
          <w:p w:rsidR="00555983" w:rsidRDefault="00555983" w:rsidP="00656E81"/>
          <w:p w:rsidR="00555983" w:rsidRDefault="00555983" w:rsidP="00656E81">
            <w:pPr>
              <w:rPr>
                <w:sz w:val="18"/>
              </w:rPr>
            </w:pPr>
            <w:r w:rsidRPr="007F7C49">
              <w:rPr>
                <w:sz w:val="18"/>
              </w:rPr>
              <w:t>Peak Design Flow</w:t>
            </w:r>
            <w:r w:rsidRPr="007F7C49" w:rsidDel="00952445">
              <w:rPr>
                <w:sz w:val="18"/>
              </w:rPr>
              <w:t xml:space="preserve"> </w:t>
            </w:r>
          </w:p>
          <w:p w:rsidR="00555983" w:rsidRDefault="00555983" w:rsidP="00656E81">
            <w:pPr>
              <w:rPr>
                <w:sz w:val="18"/>
              </w:rPr>
            </w:pPr>
            <w:r w:rsidRPr="007F7C49">
              <w:rPr>
                <w:sz w:val="18"/>
              </w:rPr>
              <w:t>=</w:t>
            </w:r>
          </w:p>
          <w:p w:rsidR="00555983" w:rsidRPr="007B7844" w:rsidRDefault="00555983" w:rsidP="00656E81"/>
        </w:tc>
        <w:tc>
          <w:tcPr>
            <w:tcW w:w="3188" w:type="dxa"/>
            <w:vMerge/>
          </w:tcPr>
          <w:p w:rsidR="00555983" w:rsidRPr="00F401F8" w:rsidRDefault="00555983" w:rsidP="00656E81">
            <w:pPr>
              <w:rPr>
                <w:i/>
              </w:rPr>
            </w:pPr>
          </w:p>
        </w:tc>
      </w:tr>
      <w:tr w:rsidR="00555983" w:rsidRPr="00F401F8" w:rsidTr="00656E81">
        <w:trPr>
          <w:trHeight w:val="702"/>
        </w:trPr>
        <w:tc>
          <w:tcPr>
            <w:tcW w:w="1760" w:type="dxa"/>
            <w:vMerge w:val="restart"/>
            <w:shd w:val="clear" w:color="auto" w:fill="F7CAAC" w:themeFill="accent2" w:themeFillTint="66"/>
          </w:tcPr>
          <w:p w:rsidR="00555983" w:rsidRPr="007B7844" w:rsidRDefault="00555983" w:rsidP="00656E8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Proposed development site design flows  - p</w:t>
            </w:r>
            <w:r w:rsidRPr="007A1816">
              <w:rPr>
                <w:rFonts w:cs="Arial"/>
                <w:b/>
              </w:rPr>
              <w:t>ost-development</w:t>
            </w:r>
            <w:r>
              <w:rPr>
                <w:rFonts w:cs="Arial"/>
                <w:b/>
              </w:rPr>
              <w:t xml:space="preserve"> scenario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555983" w:rsidRPr="00471B46" w:rsidRDefault="00555983" w:rsidP="00656E81">
            <w:pPr>
              <w:rPr>
                <w:b/>
              </w:rPr>
            </w:pPr>
            <w:r w:rsidRPr="00471B46">
              <w:rPr>
                <w:rFonts w:cs="Arial"/>
                <w:b/>
              </w:rPr>
              <w:t>Residential Design Flows (L/s)</w:t>
            </w:r>
          </w:p>
        </w:tc>
        <w:tc>
          <w:tcPr>
            <w:tcW w:w="2634" w:type="dxa"/>
          </w:tcPr>
          <w:p w:rsidR="00555983" w:rsidRDefault="00555983" w:rsidP="00656E81">
            <w:pPr>
              <w:rPr>
                <w:sz w:val="18"/>
              </w:rPr>
            </w:pPr>
            <w:r w:rsidRPr="007F7C49">
              <w:rPr>
                <w:sz w:val="18"/>
              </w:rPr>
              <w:t xml:space="preserve">Self-Cleansing Design Flow  </w:t>
            </w:r>
          </w:p>
          <w:p w:rsidR="00555983" w:rsidRDefault="00555983" w:rsidP="00656E81">
            <w:r>
              <w:t xml:space="preserve">= </w:t>
            </w:r>
          </w:p>
          <w:p w:rsidR="00555983" w:rsidRDefault="00555983" w:rsidP="00656E81"/>
          <w:p w:rsidR="00555983" w:rsidRDefault="00555983" w:rsidP="00656E81">
            <w:pPr>
              <w:rPr>
                <w:sz w:val="18"/>
              </w:rPr>
            </w:pPr>
            <w:r w:rsidRPr="007F7C49">
              <w:rPr>
                <w:sz w:val="18"/>
              </w:rPr>
              <w:t>Peak Design Flow</w:t>
            </w:r>
            <w:r w:rsidRPr="007F7C49" w:rsidDel="00952445">
              <w:rPr>
                <w:sz w:val="18"/>
              </w:rPr>
              <w:t xml:space="preserve"> </w:t>
            </w:r>
          </w:p>
          <w:p w:rsidR="00555983" w:rsidRDefault="00555983" w:rsidP="00656E81">
            <w:pPr>
              <w:rPr>
                <w:sz w:val="18"/>
              </w:rPr>
            </w:pPr>
            <w:r w:rsidRPr="007F7C49">
              <w:rPr>
                <w:sz w:val="18"/>
              </w:rPr>
              <w:t>=</w:t>
            </w:r>
          </w:p>
          <w:p w:rsidR="00555983" w:rsidRPr="00471B46" w:rsidRDefault="00555983" w:rsidP="00656E81"/>
          <w:p w:rsidR="00555983" w:rsidRDefault="00555983" w:rsidP="00656E81">
            <w:pPr>
              <w:rPr>
                <w:i/>
              </w:rPr>
            </w:pPr>
          </w:p>
          <w:p w:rsidR="00555983" w:rsidRPr="00B11921" w:rsidRDefault="00555983" w:rsidP="00656E81">
            <w:pPr>
              <w:rPr>
                <w:i/>
              </w:rPr>
            </w:pPr>
            <w:r>
              <w:rPr>
                <w:i/>
              </w:rPr>
              <w:t>A</w:t>
            </w:r>
            <w:r w:rsidRPr="00B11921">
              <w:rPr>
                <w:i/>
              </w:rPr>
              <w:t>nd if re</w:t>
            </w:r>
            <w:r>
              <w:rPr>
                <w:i/>
              </w:rPr>
              <w:t>levant</w:t>
            </w:r>
          </w:p>
          <w:p w:rsidR="00555983" w:rsidRPr="00B11921" w:rsidRDefault="00555983" w:rsidP="00656E81">
            <w:pPr>
              <w:rPr>
                <w:i/>
              </w:rPr>
            </w:pPr>
          </w:p>
          <w:p w:rsidR="00555983" w:rsidRPr="00471B46" w:rsidRDefault="00555983" w:rsidP="00656E81">
            <w:pPr>
              <w:rPr>
                <w:sz w:val="18"/>
              </w:rPr>
            </w:pPr>
            <w:r w:rsidRPr="00471B46">
              <w:rPr>
                <w:sz w:val="18"/>
              </w:rPr>
              <w:t xml:space="preserve">Ultimate Peak Design Flow </w:t>
            </w:r>
          </w:p>
          <w:p w:rsidR="00555983" w:rsidRDefault="00555983" w:rsidP="00656E81">
            <w:pPr>
              <w:rPr>
                <w:sz w:val="18"/>
              </w:rPr>
            </w:pPr>
            <w:r w:rsidRPr="00471B46">
              <w:rPr>
                <w:sz w:val="18"/>
              </w:rPr>
              <w:t>=</w:t>
            </w:r>
          </w:p>
          <w:p w:rsidR="00555983" w:rsidRPr="007B7844" w:rsidRDefault="00555983" w:rsidP="00656E81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vMerge/>
          </w:tcPr>
          <w:p w:rsidR="00555983" w:rsidRPr="00F401F8" w:rsidRDefault="00555983" w:rsidP="00656E81">
            <w:pPr>
              <w:rPr>
                <w:i/>
              </w:rPr>
            </w:pPr>
          </w:p>
        </w:tc>
      </w:tr>
      <w:tr w:rsidR="00555983" w:rsidRPr="00F401F8" w:rsidTr="00656E81">
        <w:trPr>
          <w:trHeight w:val="875"/>
        </w:trPr>
        <w:tc>
          <w:tcPr>
            <w:tcW w:w="1760" w:type="dxa"/>
            <w:vMerge/>
            <w:shd w:val="clear" w:color="auto" w:fill="F7CAAC" w:themeFill="accent2" w:themeFillTint="66"/>
          </w:tcPr>
          <w:p w:rsidR="00555983" w:rsidRPr="007B7844" w:rsidRDefault="00555983" w:rsidP="00656E81">
            <w:pPr>
              <w:rPr>
                <w:rFonts w:cs="Arial"/>
                <w:b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:rsidR="00555983" w:rsidRPr="00471B46" w:rsidRDefault="00555983" w:rsidP="00656E81">
            <w:pPr>
              <w:rPr>
                <w:b/>
              </w:rPr>
            </w:pPr>
            <w:r w:rsidRPr="00471B46">
              <w:rPr>
                <w:rFonts w:cs="Arial"/>
                <w:b/>
              </w:rPr>
              <w:t>Non-Residential Design Flows (L/s)</w:t>
            </w:r>
          </w:p>
        </w:tc>
        <w:tc>
          <w:tcPr>
            <w:tcW w:w="2634" w:type="dxa"/>
          </w:tcPr>
          <w:p w:rsidR="00555983" w:rsidRDefault="00555983" w:rsidP="00656E81">
            <w:pPr>
              <w:rPr>
                <w:sz w:val="18"/>
              </w:rPr>
            </w:pPr>
            <w:r w:rsidRPr="007F7C49">
              <w:rPr>
                <w:sz w:val="18"/>
              </w:rPr>
              <w:t xml:space="preserve">Self-Cleansing Design Flow  </w:t>
            </w:r>
          </w:p>
          <w:p w:rsidR="00555983" w:rsidRDefault="00555983" w:rsidP="00656E81">
            <w:r>
              <w:t xml:space="preserve">= </w:t>
            </w:r>
          </w:p>
          <w:p w:rsidR="00555983" w:rsidRDefault="00555983" w:rsidP="00656E81"/>
          <w:p w:rsidR="00555983" w:rsidRDefault="00555983" w:rsidP="00656E81">
            <w:pPr>
              <w:rPr>
                <w:sz w:val="18"/>
              </w:rPr>
            </w:pPr>
            <w:r w:rsidRPr="007F7C49">
              <w:rPr>
                <w:sz w:val="18"/>
              </w:rPr>
              <w:t>Peak Design Flow</w:t>
            </w:r>
            <w:r w:rsidRPr="007F7C49" w:rsidDel="00952445">
              <w:rPr>
                <w:sz w:val="18"/>
              </w:rPr>
              <w:t xml:space="preserve"> </w:t>
            </w:r>
          </w:p>
          <w:p w:rsidR="00555983" w:rsidRDefault="00555983" w:rsidP="00656E81">
            <w:pPr>
              <w:rPr>
                <w:sz w:val="18"/>
              </w:rPr>
            </w:pPr>
            <w:r w:rsidRPr="007F7C49">
              <w:rPr>
                <w:sz w:val="18"/>
              </w:rPr>
              <w:t>=</w:t>
            </w:r>
          </w:p>
          <w:p w:rsidR="00555983" w:rsidRPr="006F61B2" w:rsidRDefault="00555983" w:rsidP="00656E81"/>
        </w:tc>
        <w:tc>
          <w:tcPr>
            <w:tcW w:w="3188" w:type="dxa"/>
            <w:vMerge/>
          </w:tcPr>
          <w:p w:rsidR="00555983" w:rsidRPr="00F401F8" w:rsidRDefault="00555983" w:rsidP="00656E81">
            <w:pPr>
              <w:rPr>
                <w:i/>
              </w:rPr>
            </w:pPr>
          </w:p>
        </w:tc>
      </w:tr>
      <w:tr w:rsidR="00555983" w:rsidRPr="00F401F8" w:rsidTr="00656E81">
        <w:trPr>
          <w:trHeight w:val="875"/>
        </w:trPr>
        <w:tc>
          <w:tcPr>
            <w:tcW w:w="1760" w:type="dxa"/>
            <w:vMerge/>
            <w:shd w:val="clear" w:color="auto" w:fill="F7CAAC" w:themeFill="accent2" w:themeFillTint="66"/>
          </w:tcPr>
          <w:p w:rsidR="00555983" w:rsidRPr="007B7844" w:rsidRDefault="00555983" w:rsidP="00656E81">
            <w:pPr>
              <w:rPr>
                <w:rFonts w:cs="Arial"/>
                <w:b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:rsidR="00555983" w:rsidRPr="00471B46" w:rsidRDefault="00555983" w:rsidP="00656E81">
            <w:pPr>
              <w:rPr>
                <w:szCs w:val="16"/>
              </w:rPr>
            </w:pPr>
            <w:r w:rsidRPr="00471B46">
              <w:rPr>
                <w:rFonts w:cs="Arial"/>
                <w:b/>
              </w:rPr>
              <w:t xml:space="preserve">Non-Residential Discharge </w:t>
            </w:r>
            <w:r>
              <w:rPr>
                <w:rFonts w:cs="Arial"/>
                <w:b/>
              </w:rPr>
              <w:t>p</w:t>
            </w:r>
            <w:r w:rsidRPr="00471B46">
              <w:rPr>
                <w:rFonts w:cs="Arial"/>
                <w:b/>
              </w:rPr>
              <w:t xml:space="preserve">rofile / </w:t>
            </w:r>
            <w:r>
              <w:rPr>
                <w:rFonts w:cs="Arial"/>
                <w:b/>
              </w:rPr>
              <w:t>t</w:t>
            </w:r>
            <w:r w:rsidRPr="00471B46">
              <w:rPr>
                <w:rFonts w:cs="Arial"/>
                <w:b/>
              </w:rPr>
              <w:t>rend (i.e. Operations)</w:t>
            </w:r>
          </w:p>
        </w:tc>
        <w:tc>
          <w:tcPr>
            <w:tcW w:w="2634" w:type="dxa"/>
          </w:tcPr>
          <w:p w:rsidR="00555983" w:rsidRDefault="00555983" w:rsidP="00656E81"/>
          <w:p w:rsidR="00555983" w:rsidRDefault="00555983" w:rsidP="00656E81"/>
          <w:p w:rsidR="00555983" w:rsidRPr="006F61B2" w:rsidRDefault="00555983" w:rsidP="00656E81"/>
        </w:tc>
        <w:tc>
          <w:tcPr>
            <w:tcW w:w="3188" w:type="dxa"/>
          </w:tcPr>
          <w:p w:rsidR="00555983" w:rsidRPr="00471B46" w:rsidRDefault="00555983" w:rsidP="00656E81">
            <w:pPr>
              <w:rPr>
                <w:i/>
                <w:sz w:val="18"/>
              </w:rPr>
            </w:pPr>
            <w:r w:rsidRPr="00471B46">
              <w:rPr>
                <w:i/>
                <w:sz w:val="18"/>
              </w:rPr>
              <w:t>E.g. 24 hr operation / 10 hr (9am – 5pm) / Other</w:t>
            </w:r>
            <w:r>
              <w:rPr>
                <w:i/>
                <w:sz w:val="18"/>
              </w:rPr>
              <w:t xml:space="preserve"> (Please specify).</w:t>
            </w:r>
          </w:p>
        </w:tc>
      </w:tr>
      <w:tr w:rsidR="00555983" w:rsidRPr="00F401F8" w:rsidTr="00656E81">
        <w:trPr>
          <w:trHeight w:val="835"/>
        </w:trPr>
        <w:tc>
          <w:tcPr>
            <w:tcW w:w="1760" w:type="dxa"/>
            <w:shd w:val="clear" w:color="auto" w:fill="F7CAAC" w:themeFill="accent2" w:themeFillTint="66"/>
          </w:tcPr>
          <w:p w:rsidR="00555983" w:rsidRPr="007A1816" w:rsidRDefault="00555983" w:rsidP="00656E81">
            <w:pPr>
              <w:rPr>
                <w:rFonts w:cs="Arial"/>
                <w:b/>
              </w:rPr>
            </w:pPr>
            <w:r w:rsidRPr="007A1816">
              <w:rPr>
                <w:rFonts w:cs="Arial"/>
                <w:b/>
              </w:rPr>
              <w:t xml:space="preserve">Change in </w:t>
            </w:r>
            <w:r>
              <w:rPr>
                <w:rFonts w:cs="Arial"/>
                <w:b/>
              </w:rPr>
              <w:t>s</w:t>
            </w:r>
            <w:r w:rsidRPr="007A1816">
              <w:rPr>
                <w:rFonts w:cs="Arial"/>
                <w:b/>
              </w:rPr>
              <w:t xml:space="preserve">ite </w:t>
            </w:r>
            <w:r>
              <w:rPr>
                <w:rFonts w:cs="Arial"/>
                <w:b/>
              </w:rPr>
              <w:t>f</w:t>
            </w:r>
            <w:r w:rsidRPr="007A1816">
              <w:rPr>
                <w:rFonts w:cs="Arial"/>
                <w:b/>
              </w:rPr>
              <w:t xml:space="preserve">lows 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555983" w:rsidRPr="00471B46" w:rsidRDefault="00555983" w:rsidP="00656E81">
            <w:pPr>
              <w:rPr>
                <w:rFonts w:cs="Arial"/>
                <w:b/>
              </w:rPr>
            </w:pPr>
            <w:r w:rsidRPr="00471B46">
              <w:rPr>
                <w:rFonts w:cs="Arial"/>
                <w:b/>
              </w:rPr>
              <w:t xml:space="preserve">Net </w:t>
            </w:r>
            <w:r>
              <w:rPr>
                <w:rFonts w:cs="Arial"/>
                <w:b/>
              </w:rPr>
              <w:t>d</w:t>
            </w:r>
            <w:r w:rsidRPr="00471B46">
              <w:rPr>
                <w:rFonts w:cs="Arial"/>
                <w:b/>
              </w:rPr>
              <w:t xml:space="preserve">ifference </w:t>
            </w:r>
            <w:r>
              <w:rPr>
                <w:rFonts w:cs="Arial"/>
                <w:b/>
              </w:rPr>
              <w:t>b</w:t>
            </w:r>
            <w:r w:rsidRPr="00471B46">
              <w:rPr>
                <w:rFonts w:cs="Arial"/>
                <w:b/>
              </w:rPr>
              <w:t xml:space="preserve">etween </w:t>
            </w:r>
            <w:r>
              <w:rPr>
                <w:rFonts w:cs="Arial"/>
                <w:b/>
              </w:rPr>
              <w:t>p</w:t>
            </w:r>
            <w:r w:rsidRPr="00471B46">
              <w:rPr>
                <w:rFonts w:cs="Arial"/>
                <w:b/>
              </w:rPr>
              <w:t xml:space="preserve">ost-development and </w:t>
            </w:r>
            <w:r>
              <w:rPr>
                <w:rFonts w:cs="Arial"/>
                <w:b/>
              </w:rPr>
              <w:t>p</w:t>
            </w:r>
            <w:r w:rsidRPr="00471B46">
              <w:rPr>
                <w:rFonts w:cs="Arial"/>
                <w:b/>
              </w:rPr>
              <w:t xml:space="preserve">re-development </w:t>
            </w:r>
            <w:r>
              <w:rPr>
                <w:rFonts w:cs="Arial"/>
                <w:b/>
              </w:rPr>
              <w:t>s</w:t>
            </w:r>
            <w:r w:rsidRPr="00471B46">
              <w:rPr>
                <w:rFonts w:cs="Arial"/>
                <w:b/>
              </w:rPr>
              <w:t xml:space="preserve">ite </w:t>
            </w:r>
            <w:r>
              <w:rPr>
                <w:rFonts w:cs="Arial"/>
                <w:b/>
              </w:rPr>
              <w:t>d</w:t>
            </w:r>
            <w:r w:rsidRPr="00471B46">
              <w:rPr>
                <w:rFonts w:cs="Arial"/>
                <w:b/>
              </w:rPr>
              <w:t xml:space="preserve">esign </w:t>
            </w:r>
            <w:r>
              <w:rPr>
                <w:rFonts w:cs="Arial"/>
                <w:b/>
              </w:rPr>
              <w:t>f</w:t>
            </w:r>
            <w:r w:rsidRPr="00471B46">
              <w:rPr>
                <w:rFonts w:cs="Arial"/>
                <w:b/>
              </w:rPr>
              <w:t>lows (L/s)</w:t>
            </w:r>
          </w:p>
        </w:tc>
        <w:tc>
          <w:tcPr>
            <w:tcW w:w="2634" w:type="dxa"/>
          </w:tcPr>
          <w:p w:rsidR="00555983" w:rsidRDefault="00555983" w:rsidP="00656E81">
            <w:pPr>
              <w:rPr>
                <w:sz w:val="18"/>
              </w:rPr>
            </w:pPr>
            <w:r>
              <w:rPr>
                <w:sz w:val="18"/>
              </w:rPr>
              <w:t xml:space="preserve">Net Change in </w:t>
            </w:r>
            <w:r w:rsidRPr="007F7C49">
              <w:rPr>
                <w:sz w:val="18"/>
              </w:rPr>
              <w:t xml:space="preserve">Self-Cleansing Design Flow  </w:t>
            </w:r>
          </w:p>
          <w:p w:rsidR="00555983" w:rsidRDefault="00555983" w:rsidP="00656E81">
            <w:r>
              <w:t xml:space="preserve">= </w:t>
            </w:r>
          </w:p>
          <w:p w:rsidR="00555983" w:rsidRDefault="00555983" w:rsidP="00656E81"/>
          <w:p w:rsidR="00555983" w:rsidRDefault="00555983" w:rsidP="00656E81">
            <w:pPr>
              <w:rPr>
                <w:sz w:val="18"/>
              </w:rPr>
            </w:pPr>
            <w:r w:rsidRPr="00CA6720">
              <w:rPr>
                <w:sz w:val="18"/>
              </w:rPr>
              <w:t xml:space="preserve">Net Change in </w:t>
            </w:r>
            <w:r w:rsidRPr="007F7C49">
              <w:rPr>
                <w:sz w:val="18"/>
              </w:rPr>
              <w:t>Peak Design Flow</w:t>
            </w:r>
            <w:r w:rsidRPr="007F7C49" w:rsidDel="00952445">
              <w:rPr>
                <w:sz w:val="18"/>
              </w:rPr>
              <w:t xml:space="preserve"> </w:t>
            </w:r>
          </w:p>
          <w:p w:rsidR="00555983" w:rsidRDefault="00555983" w:rsidP="00656E81">
            <w:pPr>
              <w:rPr>
                <w:sz w:val="18"/>
              </w:rPr>
            </w:pPr>
            <w:r w:rsidRPr="007F7C49">
              <w:rPr>
                <w:sz w:val="18"/>
              </w:rPr>
              <w:t>=</w:t>
            </w:r>
          </w:p>
          <w:p w:rsidR="00555983" w:rsidRPr="006F61B2" w:rsidRDefault="00555983" w:rsidP="00656E81"/>
        </w:tc>
        <w:tc>
          <w:tcPr>
            <w:tcW w:w="3188" w:type="dxa"/>
          </w:tcPr>
          <w:p w:rsidR="00555983" w:rsidRPr="00471B46" w:rsidRDefault="00555983" w:rsidP="00656E81">
            <w:pPr>
              <w:rPr>
                <w:i/>
                <w:sz w:val="18"/>
              </w:rPr>
            </w:pPr>
          </w:p>
        </w:tc>
      </w:tr>
      <w:tr w:rsidR="00555983" w:rsidRPr="00F401F8" w:rsidTr="00656E81">
        <w:trPr>
          <w:trHeight w:val="835"/>
        </w:trPr>
        <w:tc>
          <w:tcPr>
            <w:tcW w:w="3886" w:type="dxa"/>
            <w:gridSpan w:val="2"/>
            <w:shd w:val="clear" w:color="auto" w:fill="F7CAAC" w:themeFill="accent2" w:themeFillTint="66"/>
          </w:tcPr>
          <w:p w:rsidR="00555983" w:rsidRPr="00C17E96" w:rsidRDefault="00555983" w:rsidP="00656E81">
            <w:pPr>
              <w:rPr>
                <w:rFonts w:cs="Arial"/>
                <w:b/>
                <w:highlight w:val="yellow"/>
              </w:rPr>
            </w:pPr>
            <w:r w:rsidRPr="007B7844">
              <w:rPr>
                <w:rFonts w:cs="Arial"/>
                <w:b/>
              </w:rPr>
              <w:t xml:space="preserve">New </w:t>
            </w:r>
            <w:r>
              <w:rPr>
                <w:rFonts w:cs="Arial"/>
                <w:b/>
              </w:rPr>
              <w:t>a</w:t>
            </w:r>
            <w:r w:rsidRPr="007B7844">
              <w:rPr>
                <w:rFonts w:cs="Arial"/>
                <w:b/>
              </w:rPr>
              <w:t xml:space="preserve">ssets </w:t>
            </w:r>
            <w:r>
              <w:rPr>
                <w:rFonts w:cs="Arial"/>
                <w:b/>
              </w:rPr>
              <w:t>r</w:t>
            </w:r>
            <w:r w:rsidRPr="007B7844">
              <w:rPr>
                <w:rFonts w:cs="Arial"/>
                <w:b/>
              </w:rPr>
              <w:t xml:space="preserve">equired for </w:t>
            </w:r>
            <w:r>
              <w:rPr>
                <w:rFonts w:cs="Arial"/>
                <w:b/>
              </w:rPr>
              <w:t>d</w:t>
            </w:r>
            <w:r w:rsidRPr="007B7844">
              <w:rPr>
                <w:rFonts w:cs="Arial"/>
                <w:b/>
              </w:rPr>
              <w:t>evelopment</w:t>
            </w:r>
          </w:p>
          <w:p w:rsidR="00555983" w:rsidRDefault="00555983" w:rsidP="00656E81">
            <w:pPr>
              <w:rPr>
                <w:rFonts w:cs="Arial"/>
                <w:b/>
                <w:highlight w:val="yellow"/>
              </w:rPr>
            </w:pPr>
          </w:p>
        </w:tc>
        <w:tc>
          <w:tcPr>
            <w:tcW w:w="2634" w:type="dxa"/>
          </w:tcPr>
          <w:p w:rsidR="00555983" w:rsidRDefault="00555983" w:rsidP="00656E81"/>
          <w:p w:rsidR="00555983" w:rsidRDefault="00555983" w:rsidP="00656E81"/>
          <w:p w:rsidR="00555983" w:rsidRDefault="00555983" w:rsidP="00656E81"/>
          <w:p w:rsidR="00555983" w:rsidRDefault="00555983" w:rsidP="00656E81"/>
          <w:p w:rsidR="00555983" w:rsidRDefault="00555983" w:rsidP="00656E81"/>
          <w:p w:rsidR="00555983" w:rsidRDefault="00555983" w:rsidP="00656E81"/>
          <w:p w:rsidR="00555983" w:rsidRDefault="00555983" w:rsidP="00656E81"/>
          <w:p w:rsidR="00555983" w:rsidRDefault="00555983" w:rsidP="00656E81"/>
          <w:p w:rsidR="00555983" w:rsidRDefault="00555983" w:rsidP="00656E81"/>
          <w:p w:rsidR="00555983" w:rsidRDefault="00555983" w:rsidP="00656E81"/>
          <w:p w:rsidR="00555983" w:rsidRDefault="00555983" w:rsidP="00656E81"/>
          <w:p w:rsidR="00555983" w:rsidRDefault="00555983" w:rsidP="00656E81"/>
        </w:tc>
        <w:tc>
          <w:tcPr>
            <w:tcW w:w="3188" w:type="dxa"/>
          </w:tcPr>
          <w:p w:rsidR="00555983" w:rsidRPr="00471B46" w:rsidDel="005D63F0" w:rsidRDefault="00555983" w:rsidP="00656E81">
            <w:pPr>
              <w:rPr>
                <w:i/>
                <w:sz w:val="18"/>
                <w:highlight w:val="yellow"/>
              </w:rPr>
            </w:pPr>
            <w:r w:rsidRPr="00471B46">
              <w:rPr>
                <w:i/>
                <w:sz w:val="18"/>
              </w:rPr>
              <w:lastRenderedPageBreak/>
              <w:t>If applicable please provide supporting calculations and indicative design parameters (i.e. pump station and rising main or storage</w:t>
            </w:r>
            <w:r>
              <w:rPr>
                <w:i/>
                <w:sz w:val="18"/>
              </w:rPr>
              <w:t>.</w:t>
            </w:r>
          </w:p>
        </w:tc>
      </w:tr>
      <w:tr w:rsidR="00555983" w:rsidRPr="00F401F8" w:rsidTr="00656E81">
        <w:trPr>
          <w:trHeight w:val="835"/>
        </w:trPr>
        <w:tc>
          <w:tcPr>
            <w:tcW w:w="3886" w:type="dxa"/>
            <w:gridSpan w:val="2"/>
            <w:shd w:val="clear" w:color="auto" w:fill="F7CAAC" w:themeFill="accent2" w:themeFillTint="66"/>
          </w:tcPr>
          <w:p w:rsidR="00555983" w:rsidRDefault="00555983" w:rsidP="00656E81">
            <w:pPr>
              <w:rPr>
                <w:sz w:val="16"/>
                <w:szCs w:val="16"/>
              </w:rPr>
            </w:pPr>
            <w:r w:rsidRPr="00871517">
              <w:rPr>
                <w:rFonts w:cs="Arial"/>
                <w:b/>
              </w:rPr>
              <w:lastRenderedPageBreak/>
              <w:t xml:space="preserve">Existing </w:t>
            </w:r>
            <w:r>
              <w:rPr>
                <w:rFonts w:cs="Arial"/>
                <w:b/>
              </w:rPr>
              <w:t>n</w:t>
            </w:r>
            <w:r w:rsidRPr="00871517">
              <w:rPr>
                <w:rFonts w:cs="Arial"/>
                <w:b/>
              </w:rPr>
              <w:t xml:space="preserve">etwork </w:t>
            </w:r>
            <w:r>
              <w:rPr>
                <w:rFonts w:cs="Arial"/>
                <w:b/>
              </w:rPr>
              <w:t>i</w:t>
            </w:r>
            <w:r w:rsidRPr="00871517">
              <w:rPr>
                <w:rFonts w:cs="Arial"/>
                <w:b/>
              </w:rPr>
              <w:t xml:space="preserve">nfrastructure </w:t>
            </w:r>
            <w:r>
              <w:rPr>
                <w:rFonts w:cs="Arial"/>
                <w:b/>
              </w:rPr>
              <w:t>c</w:t>
            </w:r>
            <w:r w:rsidRPr="00871517">
              <w:rPr>
                <w:rFonts w:cs="Arial"/>
                <w:b/>
              </w:rPr>
              <w:t xml:space="preserve">apacity </w:t>
            </w:r>
            <w:r>
              <w:rPr>
                <w:rFonts w:cs="Arial"/>
                <w:b/>
              </w:rPr>
              <w:t>a</w:t>
            </w:r>
            <w:r w:rsidRPr="00871517">
              <w:rPr>
                <w:rFonts w:cs="Arial"/>
                <w:b/>
              </w:rPr>
              <w:t>ssessment</w:t>
            </w:r>
            <w:r w:rsidRPr="00871517" w:rsidDel="00871517">
              <w:rPr>
                <w:rFonts w:cs="Arial"/>
                <w:b/>
              </w:rPr>
              <w:t xml:space="preserve"> </w:t>
            </w:r>
          </w:p>
          <w:p w:rsidR="00555983" w:rsidRDefault="00555983" w:rsidP="00656E81">
            <w:pPr>
              <w:rPr>
                <w:rFonts w:cs="Arial"/>
                <w:i/>
              </w:rPr>
            </w:pPr>
          </w:p>
          <w:p w:rsidR="00555983" w:rsidRPr="00504C3D" w:rsidRDefault="00555983" w:rsidP="00656E81">
            <w:pPr>
              <w:rPr>
                <w:rFonts w:cs="Arial"/>
                <w:i/>
                <w:sz w:val="18"/>
                <w:szCs w:val="18"/>
              </w:rPr>
            </w:pPr>
            <w:r w:rsidRPr="00504C3D">
              <w:rPr>
                <w:rFonts w:cs="Arial"/>
                <w:i/>
                <w:sz w:val="18"/>
                <w:szCs w:val="18"/>
              </w:rPr>
              <w:t xml:space="preserve">A sewer capacity check is to be carried out if the ‘Net Change in Peak Design Flow’ calculated above shows a net increase of greater than 1.0 L/sec.  </w:t>
            </w:r>
          </w:p>
          <w:p w:rsidR="00555983" w:rsidRPr="00504C3D" w:rsidRDefault="00555983" w:rsidP="00656E81">
            <w:pPr>
              <w:rPr>
                <w:rFonts w:cs="Arial"/>
                <w:i/>
                <w:sz w:val="18"/>
                <w:szCs w:val="18"/>
              </w:rPr>
            </w:pPr>
          </w:p>
          <w:p w:rsidR="00555983" w:rsidRPr="00504C3D" w:rsidRDefault="00555983" w:rsidP="00656E81">
            <w:pPr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N</w:t>
            </w:r>
            <w:r w:rsidRPr="00504C3D">
              <w:rPr>
                <w:rFonts w:cs="Arial"/>
                <w:sz w:val="18"/>
                <w:szCs w:val="18"/>
                <w:u w:val="single"/>
              </w:rPr>
              <w:t xml:space="preserve">otes: </w:t>
            </w:r>
          </w:p>
          <w:p w:rsidR="00555983" w:rsidRPr="00504C3D" w:rsidRDefault="00555983" w:rsidP="00656E81">
            <w:pPr>
              <w:rPr>
                <w:rFonts w:cs="Arial"/>
                <w:sz w:val="18"/>
                <w:szCs w:val="18"/>
              </w:rPr>
            </w:pPr>
          </w:p>
          <w:p w:rsidR="00555983" w:rsidRPr="00504C3D" w:rsidRDefault="00555983" w:rsidP="00555983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504C3D">
              <w:rPr>
                <w:rFonts w:cs="Arial"/>
                <w:i/>
                <w:sz w:val="18"/>
                <w:szCs w:val="18"/>
              </w:rPr>
              <w:t xml:space="preserve"> At Watercare’s discretion, a Sewer Capacity Check may be required even if the net increase in site flow is &lt; 1.0 L/sec</w:t>
            </w:r>
            <w:r>
              <w:rPr>
                <w:rFonts w:cs="Arial"/>
                <w:i/>
                <w:sz w:val="18"/>
                <w:szCs w:val="18"/>
              </w:rPr>
              <w:t xml:space="preserve">.  </w:t>
            </w:r>
            <w:r w:rsidRPr="00504C3D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555983" w:rsidRPr="00504C3D" w:rsidRDefault="00555983" w:rsidP="00656E81">
            <w:pPr>
              <w:rPr>
                <w:rFonts w:cs="Arial"/>
                <w:sz w:val="18"/>
                <w:szCs w:val="18"/>
              </w:rPr>
            </w:pPr>
          </w:p>
          <w:p w:rsidR="00555983" w:rsidRPr="00504C3D" w:rsidRDefault="00555983" w:rsidP="00555983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cs="Arial"/>
                <w:i/>
                <w:sz w:val="18"/>
                <w:szCs w:val="18"/>
              </w:rPr>
            </w:pPr>
            <w:r w:rsidRPr="00504C3D">
              <w:rPr>
                <w:rFonts w:cs="Arial"/>
                <w:i/>
                <w:sz w:val="18"/>
                <w:szCs w:val="18"/>
              </w:rPr>
              <w:t>The Level 1 Sewer Capacity Check as described in the CoP is to be undertaken in the first instance, unless specifically advised by Watercare</w:t>
            </w:r>
            <w:r>
              <w:rPr>
                <w:rFonts w:cs="Arial"/>
                <w:i/>
                <w:sz w:val="18"/>
                <w:szCs w:val="18"/>
              </w:rPr>
              <w:t>.</w:t>
            </w:r>
            <w:r w:rsidRPr="00504C3D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 xml:space="preserve">The Level 1 Capacity Check </w:t>
            </w:r>
            <w:r w:rsidRPr="00504C3D">
              <w:rPr>
                <w:rFonts w:cs="Arial"/>
                <w:i/>
                <w:sz w:val="18"/>
                <w:szCs w:val="18"/>
              </w:rPr>
              <w:t xml:space="preserve">is intended to help identify applications that may require more accurate/detailed design calculations and/or </w:t>
            </w:r>
            <w:r>
              <w:rPr>
                <w:rFonts w:cs="Arial"/>
                <w:i/>
                <w:sz w:val="18"/>
                <w:szCs w:val="18"/>
              </w:rPr>
              <w:t xml:space="preserve">identify whether </w:t>
            </w:r>
            <w:r w:rsidRPr="00445590">
              <w:rPr>
                <w:rFonts w:cs="Arial"/>
                <w:i/>
                <w:sz w:val="18"/>
                <w:szCs w:val="18"/>
              </w:rPr>
              <w:t xml:space="preserve">data </w:t>
            </w:r>
            <w:r>
              <w:rPr>
                <w:rFonts w:cs="Arial"/>
                <w:i/>
                <w:sz w:val="18"/>
                <w:szCs w:val="18"/>
              </w:rPr>
              <w:t xml:space="preserve">held on the existing network </w:t>
            </w:r>
            <w:r w:rsidRPr="00504C3D">
              <w:rPr>
                <w:rFonts w:cs="Arial"/>
                <w:i/>
                <w:sz w:val="18"/>
                <w:szCs w:val="18"/>
              </w:rPr>
              <w:t xml:space="preserve">is sufficient to </w:t>
            </w:r>
            <w:r>
              <w:rPr>
                <w:rFonts w:cs="Arial"/>
                <w:i/>
                <w:sz w:val="18"/>
                <w:szCs w:val="18"/>
              </w:rPr>
              <w:t xml:space="preserve">enable </w:t>
            </w:r>
            <w:r w:rsidRPr="00504C3D">
              <w:rPr>
                <w:rFonts w:cs="Arial"/>
                <w:i/>
                <w:sz w:val="18"/>
                <w:szCs w:val="18"/>
              </w:rPr>
              <w:t xml:space="preserve">an accurate assessment of capacity. </w:t>
            </w:r>
          </w:p>
          <w:p w:rsidR="00555983" w:rsidRPr="00504C3D" w:rsidRDefault="00555983" w:rsidP="00656E81">
            <w:pPr>
              <w:pStyle w:val="ListParagraph"/>
              <w:rPr>
                <w:rFonts w:cs="Arial"/>
                <w:i/>
                <w:sz w:val="18"/>
                <w:szCs w:val="18"/>
              </w:rPr>
            </w:pPr>
          </w:p>
          <w:p w:rsidR="00555983" w:rsidRPr="00471B46" w:rsidRDefault="00555983" w:rsidP="00656E81">
            <w:pPr>
              <w:rPr>
                <w:sz w:val="16"/>
                <w:szCs w:val="16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634" w:type="dxa"/>
          </w:tcPr>
          <w:p w:rsidR="00555983" w:rsidRDefault="00555983" w:rsidP="00656E81">
            <w:pPr>
              <w:rPr>
                <w:sz w:val="18"/>
              </w:rPr>
            </w:pPr>
            <w:r>
              <w:rPr>
                <w:sz w:val="18"/>
              </w:rPr>
              <w:t>Type of Sewer Capacity Check undertaken:</w:t>
            </w:r>
          </w:p>
          <w:p w:rsidR="00555983" w:rsidRPr="00DA3955" w:rsidRDefault="00555983" w:rsidP="00656E81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= (Level 1 / Level 2 / Level 2) </w:t>
            </w:r>
            <w:r w:rsidRPr="00DA3955">
              <w:rPr>
                <w:i/>
                <w:sz w:val="18"/>
              </w:rPr>
              <w:t>(circle / delete as appropriate)</w:t>
            </w:r>
          </w:p>
          <w:p w:rsidR="00555983" w:rsidRPr="00DA3955" w:rsidRDefault="00555983" w:rsidP="00656E81">
            <w:pPr>
              <w:rPr>
                <w:i/>
                <w:sz w:val="14"/>
              </w:rPr>
            </w:pPr>
          </w:p>
          <w:p w:rsidR="00555983" w:rsidRDefault="00555983" w:rsidP="00656E81">
            <w:pPr>
              <w:rPr>
                <w:sz w:val="18"/>
              </w:rPr>
            </w:pPr>
          </w:p>
          <w:p w:rsidR="00555983" w:rsidRPr="00043BA1" w:rsidRDefault="00555983" w:rsidP="00656E81">
            <w:pPr>
              <w:rPr>
                <w:i/>
                <w:sz w:val="18"/>
              </w:rPr>
            </w:pPr>
            <w:r w:rsidRPr="004F1CC3">
              <w:rPr>
                <w:sz w:val="18"/>
              </w:rPr>
              <w:t xml:space="preserve">Did the </w:t>
            </w:r>
            <w:r w:rsidRPr="004F1CC3">
              <w:rPr>
                <w:i/>
                <w:sz w:val="18"/>
              </w:rPr>
              <w:t xml:space="preserve">Existing WW Capacity Assessment Design Flow </w:t>
            </w:r>
            <w:r w:rsidRPr="004F1CC3">
              <w:rPr>
                <w:sz w:val="18"/>
              </w:rPr>
              <w:t xml:space="preserve">exceed the pipe-full capacity for </w:t>
            </w:r>
            <w:r w:rsidRPr="004F1CC3">
              <w:rPr>
                <w:i/>
                <w:sz w:val="18"/>
                <w:u w:val="single"/>
              </w:rPr>
              <w:t>any</w:t>
            </w:r>
            <w:r w:rsidRPr="004F1CC3">
              <w:rPr>
                <w:sz w:val="18"/>
              </w:rPr>
              <w:t xml:space="preserve"> pipes within the </w:t>
            </w:r>
            <w:r w:rsidRPr="004F1CC3">
              <w:rPr>
                <w:i/>
                <w:sz w:val="18"/>
              </w:rPr>
              <w:t>Existing Network Assessment Extents</w:t>
            </w:r>
            <w:r w:rsidRPr="00043BA1">
              <w:rPr>
                <w:i/>
                <w:sz w:val="18"/>
              </w:rPr>
              <w:t xml:space="preserve">? </w:t>
            </w:r>
          </w:p>
          <w:p w:rsidR="00555983" w:rsidRPr="00043BA1" w:rsidRDefault="00555983" w:rsidP="00656E81">
            <w:pPr>
              <w:rPr>
                <w:i/>
                <w:sz w:val="18"/>
              </w:rPr>
            </w:pPr>
          </w:p>
          <w:p w:rsidR="00555983" w:rsidRPr="004F1CC3" w:rsidRDefault="00555983" w:rsidP="00656E81">
            <w:pPr>
              <w:rPr>
                <w:sz w:val="18"/>
              </w:rPr>
            </w:pPr>
          </w:p>
          <w:p w:rsidR="00555983" w:rsidRPr="004F1CC3" w:rsidRDefault="00555983" w:rsidP="00656E81">
            <w:pPr>
              <w:rPr>
                <w:sz w:val="18"/>
              </w:rPr>
            </w:pPr>
            <w:r w:rsidRPr="004F1CC3">
              <w:rPr>
                <w:sz w:val="18"/>
              </w:rPr>
              <w:t xml:space="preserve">On pipes where asset data (i.e. gradient and diameter) </w:t>
            </w:r>
            <w:r>
              <w:rPr>
                <w:sz w:val="18"/>
              </w:rPr>
              <w:t>is</w:t>
            </w:r>
            <w:r w:rsidRPr="004F1CC3">
              <w:rPr>
                <w:sz w:val="18"/>
              </w:rPr>
              <w:t xml:space="preserve"> known:</w:t>
            </w:r>
          </w:p>
          <w:p w:rsidR="00555983" w:rsidRPr="004F1CC3" w:rsidRDefault="00555983" w:rsidP="00656E81">
            <w:pPr>
              <w:rPr>
                <w:i/>
                <w:sz w:val="18"/>
              </w:rPr>
            </w:pPr>
            <w:r w:rsidRPr="004F1CC3">
              <w:rPr>
                <w:i/>
                <w:sz w:val="18"/>
              </w:rPr>
              <w:t xml:space="preserve">= </w:t>
            </w:r>
          </w:p>
          <w:p w:rsidR="00555983" w:rsidRPr="004F1CC3" w:rsidRDefault="00555983" w:rsidP="00656E81">
            <w:pPr>
              <w:rPr>
                <w:i/>
                <w:sz w:val="18"/>
              </w:rPr>
            </w:pPr>
          </w:p>
          <w:p w:rsidR="00555983" w:rsidRPr="004F1CC3" w:rsidRDefault="00555983" w:rsidP="00656E81">
            <w:pPr>
              <w:rPr>
                <w:sz w:val="18"/>
              </w:rPr>
            </w:pPr>
            <w:r w:rsidRPr="004F1CC3">
              <w:rPr>
                <w:sz w:val="18"/>
              </w:rPr>
              <w:t>(Yes / No)</w:t>
            </w:r>
          </w:p>
          <w:p w:rsidR="00555983" w:rsidRPr="004F1CC3" w:rsidRDefault="00555983" w:rsidP="00656E81">
            <w:pPr>
              <w:rPr>
                <w:sz w:val="18"/>
              </w:rPr>
            </w:pPr>
          </w:p>
          <w:p w:rsidR="00555983" w:rsidRPr="004F1CC3" w:rsidRDefault="00555983" w:rsidP="00656E81">
            <w:pPr>
              <w:rPr>
                <w:sz w:val="18"/>
              </w:rPr>
            </w:pPr>
          </w:p>
          <w:p w:rsidR="00555983" w:rsidRPr="00043BA1" w:rsidRDefault="00555983" w:rsidP="00656E81">
            <w:pPr>
              <w:rPr>
                <w:sz w:val="18"/>
              </w:rPr>
            </w:pPr>
            <w:r w:rsidRPr="004F1CC3">
              <w:rPr>
                <w:sz w:val="18"/>
              </w:rPr>
              <w:t xml:space="preserve">On pipes where asset data </w:t>
            </w:r>
            <w:r>
              <w:rPr>
                <w:sz w:val="18"/>
              </w:rPr>
              <w:t xml:space="preserve">was </w:t>
            </w:r>
            <w:r w:rsidRPr="004F1CC3">
              <w:rPr>
                <w:sz w:val="18"/>
              </w:rPr>
              <w:t>assumed</w:t>
            </w:r>
            <w:r>
              <w:rPr>
                <w:sz w:val="18"/>
              </w:rPr>
              <w:t>:</w:t>
            </w:r>
            <w:r w:rsidRPr="004F1CC3">
              <w:rPr>
                <w:sz w:val="18"/>
              </w:rPr>
              <w:t xml:space="preserve"> </w:t>
            </w:r>
          </w:p>
          <w:p w:rsidR="00555983" w:rsidRPr="00043BA1" w:rsidRDefault="00555983" w:rsidP="00656E81">
            <w:pPr>
              <w:rPr>
                <w:sz w:val="18"/>
              </w:rPr>
            </w:pPr>
            <w:r w:rsidRPr="00043BA1">
              <w:rPr>
                <w:sz w:val="18"/>
              </w:rPr>
              <w:t xml:space="preserve">= </w:t>
            </w:r>
          </w:p>
          <w:p w:rsidR="00555983" w:rsidRPr="00043BA1" w:rsidRDefault="00555983" w:rsidP="00656E81">
            <w:pPr>
              <w:rPr>
                <w:sz w:val="18"/>
              </w:rPr>
            </w:pPr>
          </w:p>
          <w:p w:rsidR="00555983" w:rsidRPr="00471B46" w:rsidRDefault="00555983" w:rsidP="00656E81">
            <w:pPr>
              <w:rPr>
                <w:sz w:val="18"/>
              </w:rPr>
            </w:pPr>
            <w:r w:rsidRPr="004F1CC3">
              <w:rPr>
                <w:sz w:val="18"/>
              </w:rPr>
              <w:t>(Yes / No)</w:t>
            </w:r>
          </w:p>
        </w:tc>
        <w:tc>
          <w:tcPr>
            <w:tcW w:w="3188" w:type="dxa"/>
          </w:tcPr>
          <w:p w:rsidR="00555983" w:rsidRPr="00F64EDA" w:rsidRDefault="00555983" w:rsidP="00656E81">
            <w:pPr>
              <w:pStyle w:val="ListParagraph"/>
              <w:ind w:left="0"/>
              <w:jc w:val="left"/>
              <w:rPr>
                <w:i/>
                <w:sz w:val="18"/>
              </w:rPr>
            </w:pPr>
            <w:r w:rsidRPr="00F64EDA">
              <w:rPr>
                <w:i/>
                <w:sz w:val="18"/>
              </w:rPr>
              <w:t xml:space="preserve">See </w:t>
            </w:r>
            <w:bookmarkStart w:id="1" w:name="_Hlk482132362"/>
            <w:r w:rsidRPr="00F64EDA">
              <w:rPr>
                <w:i/>
                <w:sz w:val="18"/>
              </w:rPr>
              <w:t xml:space="preserve">Watercare’s GIS </w:t>
            </w:r>
            <w:r w:rsidRPr="00445590">
              <w:rPr>
                <w:i/>
                <w:sz w:val="18"/>
              </w:rPr>
              <w:t>Viewer for Asset Data Query and Land Development</w:t>
            </w:r>
            <w:r>
              <w:rPr>
                <w:i/>
                <w:sz w:val="18"/>
              </w:rPr>
              <w:t>/</w:t>
            </w:r>
            <w:bookmarkEnd w:id="1"/>
            <w:r>
              <w:rPr>
                <w:i/>
                <w:sz w:val="18"/>
              </w:rPr>
              <w:t>Subdivision</w:t>
            </w:r>
            <w:r w:rsidRPr="00445590">
              <w:rPr>
                <w:i/>
                <w:sz w:val="18"/>
              </w:rPr>
              <w:t xml:space="preserve"> </w:t>
            </w:r>
            <w:r w:rsidRPr="00F64EDA">
              <w:rPr>
                <w:i/>
                <w:sz w:val="18"/>
              </w:rPr>
              <w:t xml:space="preserve">to assist with </w:t>
            </w:r>
            <w:r>
              <w:rPr>
                <w:i/>
                <w:sz w:val="18"/>
              </w:rPr>
              <w:t xml:space="preserve">obtaining data required for the </w:t>
            </w:r>
            <w:r w:rsidRPr="00F64EDA">
              <w:rPr>
                <w:i/>
                <w:sz w:val="18"/>
              </w:rPr>
              <w:t>capacity assessment.</w:t>
            </w:r>
          </w:p>
          <w:p w:rsidR="00555983" w:rsidRPr="00F64EDA" w:rsidRDefault="00555983" w:rsidP="00656E81">
            <w:pPr>
              <w:pStyle w:val="ListParagraph"/>
              <w:ind w:left="360"/>
              <w:rPr>
                <w:i/>
                <w:sz w:val="18"/>
              </w:rPr>
            </w:pPr>
          </w:p>
          <w:p w:rsidR="00555983" w:rsidRPr="00F64EDA" w:rsidRDefault="00555983" w:rsidP="00656E81">
            <w:pPr>
              <w:pStyle w:val="ListParagraph"/>
              <w:ind w:left="0"/>
              <w:rPr>
                <w:i/>
                <w:sz w:val="18"/>
                <w:u w:val="single"/>
              </w:rPr>
            </w:pPr>
            <w:r>
              <w:rPr>
                <w:i/>
                <w:sz w:val="18"/>
              </w:rPr>
              <w:t>In addition to the assessment findings summary requested here, o</w:t>
            </w:r>
            <w:r w:rsidRPr="00F64EDA">
              <w:rPr>
                <w:i/>
                <w:sz w:val="18"/>
              </w:rPr>
              <w:t xml:space="preserve">ther required existing network capacity assessment </w:t>
            </w:r>
            <w:r>
              <w:rPr>
                <w:i/>
                <w:sz w:val="18"/>
              </w:rPr>
              <w:t xml:space="preserve">key steps/ </w:t>
            </w:r>
            <w:r w:rsidRPr="00F64EDA">
              <w:rPr>
                <w:i/>
                <w:sz w:val="18"/>
              </w:rPr>
              <w:t>deliverables include</w:t>
            </w:r>
            <w:r w:rsidRPr="00F64EDA">
              <w:rPr>
                <w:i/>
                <w:sz w:val="18"/>
                <w:u w:val="single"/>
              </w:rPr>
              <w:t xml:space="preserve">: </w:t>
            </w:r>
          </w:p>
          <w:p w:rsidR="00555983" w:rsidRPr="00F64EDA" w:rsidRDefault="00555983" w:rsidP="00656E81">
            <w:pPr>
              <w:pStyle w:val="ListParagraph"/>
              <w:ind w:left="360"/>
              <w:rPr>
                <w:i/>
                <w:sz w:val="18"/>
                <w:u w:val="single"/>
              </w:rPr>
            </w:pPr>
          </w:p>
          <w:p w:rsidR="00555983" w:rsidRPr="00F64EDA" w:rsidRDefault="00555983" w:rsidP="00555983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textAlignment w:val="baseline"/>
              <w:rPr>
                <w:i/>
                <w:sz w:val="18"/>
              </w:rPr>
            </w:pPr>
            <w:r w:rsidRPr="00EB5EB6">
              <w:rPr>
                <w:i/>
                <w:sz w:val="18"/>
                <w:u w:val="single"/>
              </w:rPr>
              <w:t xml:space="preserve">Network Assessment Extents </w:t>
            </w:r>
            <w:r w:rsidRPr="00F64EDA">
              <w:rPr>
                <w:i/>
                <w:sz w:val="18"/>
              </w:rPr>
              <w:t xml:space="preserve">to be identified </w:t>
            </w:r>
            <w:r>
              <w:rPr>
                <w:i/>
                <w:sz w:val="18"/>
              </w:rPr>
              <w:t xml:space="preserve">as </w:t>
            </w:r>
            <w:r w:rsidRPr="00F64EDA">
              <w:rPr>
                <w:i/>
                <w:sz w:val="18"/>
              </w:rPr>
              <w:t>d</w:t>
            </w:r>
            <w:r>
              <w:rPr>
                <w:i/>
                <w:sz w:val="18"/>
              </w:rPr>
              <w:t>escribed</w:t>
            </w:r>
            <w:r w:rsidRPr="00F64ED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in </w:t>
            </w:r>
            <w:r w:rsidRPr="00F64EDA">
              <w:rPr>
                <w:i/>
                <w:sz w:val="18"/>
              </w:rPr>
              <w:t xml:space="preserve">the CoP. </w:t>
            </w:r>
            <w:r>
              <w:rPr>
                <w:i/>
                <w:sz w:val="18"/>
              </w:rPr>
              <w:t xml:space="preserve"> </w:t>
            </w:r>
            <w:r w:rsidRPr="00F64EDA">
              <w:rPr>
                <w:i/>
                <w:sz w:val="18"/>
              </w:rPr>
              <w:t xml:space="preserve">A map is to be provided showing the network assessment extent. </w:t>
            </w:r>
          </w:p>
          <w:p w:rsidR="00555983" w:rsidRPr="00F64EDA" w:rsidRDefault="00555983" w:rsidP="00656E81">
            <w:pPr>
              <w:pStyle w:val="ListParagraph"/>
              <w:ind w:left="360"/>
              <w:rPr>
                <w:i/>
                <w:sz w:val="18"/>
                <w:u w:val="single"/>
              </w:rPr>
            </w:pPr>
          </w:p>
          <w:p w:rsidR="00555983" w:rsidRPr="00F64EDA" w:rsidRDefault="00555983" w:rsidP="00555983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textAlignment w:val="baseline"/>
              <w:rPr>
                <w:i/>
                <w:sz w:val="18"/>
              </w:rPr>
            </w:pPr>
            <w:r w:rsidRPr="00EB5EB6">
              <w:rPr>
                <w:i/>
                <w:sz w:val="18"/>
                <w:u w:val="single"/>
              </w:rPr>
              <w:t xml:space="preserve">Catchment </w:t>
            </w:r>
            <w:r>
              <w:rPr>
                <w:i/>
                <w:sz w:val="18"/>
                <w:u w:val="single"/>
              </w:rPr>
              <w:t>B</w:t>
            </w:r>
            <w:r w:rsidRPr="00EB5EB6">
              <w:rPr>
                <w:i/>
                <w:sz w:val="18"/>
                <w:u w:val="single"/>
              </w:rPr>
              <w:t>oundaries</w:t>
            </w:r>
            <w:r w:rsidRPr="004F1CC3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f</w:t>
            </w:r>
            <w:r w:rsidRPr="00F64EDA">
              <w:rPr>
                <w:i/>
                <w:sz w:val="18"/>
              </w:rPr>
              <w:t>o</w:t>
            </w:r>
            <w:r>
              <w:rPr>
                <w:i/>
                <w:sz w:val="18"/>
              </w:rPr>
              <w:t>r the assessment is to</w:t>
            </w:r>
            <w:r w:rsidRPr="00F64EDA">
              <w:rPr>
                <w:i/>
                <w:sz w:val="18"/>
              </w:rPr>
              <w:t xml:space="preserve"> be determined. </w:t>
            </w:r>
            <w:r>
              <w:rPr>
                <w:i/>
                <w:sz w:val="18"/>
              </w:rPr>
              <w:t xml:space="preserve">Catchment Boundary data (where available) can be viewed in the Watercare GIS Viewer. </w:t>
            </w:r>
            <w:r w:rsidRPr="00F64EDA">
              <w:rPr>
                <w:i/>
                <w:sz w:val="18"/>
              </w:rPr>
              <w:t>Where</w:t>
            </w:r>
            <w:r>
              <w:rPr>
                <w:i/>
                <w:sz w:val="18"/>
              </w:rPr>
              <w:t xml:space="preserve"> not</w:t>
            </w:r>
            <w:r w:rsidRPr="00F64EDA">
              <w:rPr>
                <w:i/>
                <w:sz w:val="18"/>
              </w:rPr>
              <w:t xml:space="preserve"> available, the developer and their engineers will be required to produce catchment boundaries. A map is to be </w:t>
            </w:r>
            <w:r>
              <w:rPr>
                <w:i/>
                <w:sz w:val="18"/>
              </w:rPr>
              <w:t>submitted</w:t>
            </w:r>
            <w:r w:rsidRPr="00F64EDA">
              <w:rPr>
                <w:i/>
                <w:sz w:val="18"/>
              </w:rPr>
              <w:t xml:space="preserve"> depicting the catchment extents.</w:t>
            </w:r>
          </w:p>
          <w:p w:rsidR="00555983" w:rsidRPr="00F64EDA" w:rsidRDefault="00555983" w:rsidP="00656E81">
            <w:pPr>
              <w:pStyle w:val="ListParagraph"/>
              <w:ind w:left="360"/>
              <w:rPr>
                <w:i/>
                <w:sz w:val="18"/>
                <w:u w:val="single"/>
              </w:rPr>
            </w:pPr>
          </w:p>
          <w:p w:rsidR="00555983" w:rsidRPr="006C5470" w:rsidRDefault="00555983" w:rsidP="00555983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textAlignment w:val="baseline"/>
              <w:rPr>
                <w:i/>
                <w:sz w:val="18"/>
              </w:rPr>
            </w:pPr>
            <w:r w:rsidRPr="006C5470">
              <w:rPr>
                <w:i/>
                <w:sz w:val="18"/>
                <w:u w:val="single"/>
              </w:rPr>
              <w:t>Existing WW Capacity Assessment Design Flow</w:t>
            </w:r>
            <w:r w:rsidRPr="006C5470">
              <w:rPr>
                <w:i/>
                <w:sz w:val="18"/>
              </w:rPr>
              <w:t xml:space="preserve"> is to be calculated as described in the CoP. The flows are to be tabulated for each pipe-reach within the Network Assessment Extent. A pipe-reach will typically be regarded as the section of network between points where significant tributaries enter the network. </w:t>
            </w:r>
          </w:p>
          <w:p w:rsidR="00555983" w:rsidRPr="00281E80" w:rsidRDefault="00555983" w:rsidP="00656E81">
            <w:pPr>
              <w:pStyle w:val="ListParagraph"/>
              <w:ind w:left="360"/>
              <w:rPr>
                <w:i/>
                <w:sz w:val="18"/>
                <w:u w:val="single"/>
              </w:rPr>
            </w:pPr>
            <w:r w:rsidRPr="00281E80">
              <w:rPr>
                <w:sz w:val="18"/>
              </w:rPr>
              <w:t xml:space="preserve"> </w:t>
            </w:r>
          </w:p>
          <w:p w:rsidR="00555983" w:rsidRPr="00281E80" w:rsidRDefault="00555983" w:rsidP="00555983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textAlignment w:val="baseline"/>
              <w:rPr>
                <w:i/>
                <w:sz w:val="18"/>
                <w:u w:val="single"/>
              </w:rPr>
            </w:pPr>
            <w:r w:rsidRPr="00281E80">
              <w:rPr>
                <w:i/>
                <w:sz w:val="18"/>
                <w:u w:val="single"/>
              </w:rPr>
              <w:t xml:space="preserve">Pipe </w:t>
            </w:r>
            <w:r>
              <w:rPr>
                <w:i/>
                <w:sz w:val="18"/>
                <w:u w:val="single"/>
              </w:rPr>
              <w:t xml:space="preserve">Capacity </w:t>
            </w:r>
            <w:r w:rsidRPr="00281E80">
              <w:rPr>
                <w:i/>
                <w:sz w:val="18"/>
                <w:u w:val="single"/>
              </w:rPr>
              <w:t xml:space="preserve">Vs. Design Flow </w:t>
            </w:r>
            <w:r w:rsidRPr="00457FBE">
              <w:rPr>
                <w:i/>
                <w:sz w:val="18"/>
                <w:u w:val="single"/>
              </w:rPr>
              <w:t>Check</w:t>
            </w:r>
            <w:r>
              <w:rPr>
                <w:i/>
                <w:sz w:val="18"/>
                <w:u w:val="single"/>
              </w:rPr>
              <w:t xml:space="preserve"> is to be carried out; </w:t>
            </w:r>
            <w:r w:rsidRPr="00281E80">
              <w:rPr>
                <w:i/>
                <w:sz w:val="18"/>
              </w:rPr>
              <w:t xml:space="preserve">a table detailing the calculated full pipe capacity compared to the </w:t>
            </w:r>
            <w:r>
              <w:rPr>
                <w:i/>
                <w:sz w:val="18"/>
              </w:rPr>
              <w:t xml:space="preserve">‘Existing WW Capacity Assessment Design Flow’ </w:t>
            </w:r>
            <w:r w:rsidRPr="00281E80">
              <w:rPr>
                <w:i/>
                <w:sz w:val="18"/>
              </w:rPr>
              <w:t>is to be provided</w:t>
            </w:r>
            <w:r>
              <w:rPr>
                <w:i/>
                <w:sz w:val="18"/>
              </w:rPr>
              <w:t xml:space="preserve">. </w:t>
            </w:r>
            <w:r w:rsidRPr="00F20222">
              <w:rPr>
                <w:i/>
                <w:sz w:val="18"/>
              </w:rPr>
              <w:t xml:space="preserve">Pipes with missing asset data are to have the missing data assumed as described in the CoP. </w:t>
            </w:r>
            <w:r w:rsidRPr="00281E80">
              <w:rPr>
                <w:i/>
                <w:sz w:val="18"/>
              </w:rPr>
              <w:t xml:space="preserve"> </w:t>
            </w:r>
          </w:p>
          <w:p w:rsidR="00555983" w:rsidRPr="00281E80" w:rsidRDefault="00555983" w:rsidP="00656E81">
            <w:pPr>
              <w:rPr>
                <w:i/>
                <w:sz w:val="18"/>
                <w:u w:val="single"/>
              </w:rPr>
            </w:pPr>
          </w:p>
          <w:p w:rsidR="00555983" w:rsidRPr="00281E80" w:rsidRDefault="00555983" w:rsidP="00555983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textAlignment w:val="baseline"/>
              <w:rPr>
                <w:i/>
                <w:sz w:val="18"/>
                <w:u w:val="single"/>
              </w:rPr>
            </w:pPr>
            <w:r w:rsidRPr="00281E80">
              <w:rPr>
                <w:i/>
                <w:sz w:val="18"/>
                <w:u w:val="single"/>
              </w:rPr>
              <w:t>Pipe</w:t>
            </w:r>
            <w:r>
              <w:rPr>
                <w:i/>
                <w:sz w:val="18"/>
                <w:u w:val="single"/>
              </w:rPr>
              <w:t xml:space="preserve"> Full Capacity Excee</w:t>
            </w:r>
            <w:r w:rsidRPr="00281E80">
              <w:rPr>
                <w:i/>
                <w:sz w:val="18"/>
                <w:u w:val="single"/>
              </w:rPr>
              <w:t>dance</w:t>
            </w:r>
            <w:r>
              <w:rPr>
                <w:i/>
                <w:sz w:val="18"/>
              </w:rPr>
              <w:t xml:space="preserve"> -</w:t>
            </w:r>
            <w:r w:rsidRPr="00281E80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Pipes </w:t>
            </w:r>
            <w:r w:rsidRPr="00281E80">
              <w:rPr>
                <w:i/>
                <w:sz w:val="18"/>
              </w:rPr>
              <w:t xml:space="preserve">where the </w:t>
            </w:r>
            <w:r>
              <w:rPr>
                <w:i/>
                <w:sz w:val="18"/>
              </w:rPr>
              <w:t>‘</w:t>
            </w:r>
            <w:r w:rsidRPr="00281E80">
              <w:rPr>
                <w:i/>
                <w:sz w:val="18"/>
              </w:rPr>
              <w:t>Existing WW Capacity Assessment Design Flow</w:t>
            </w:r>
            <w:r>
              <w:rPr>
                <w:i/>
                <w:sz w:val="18"/>
              </w:rPr>
              <w:t>’</w:t>
            </w:r>
            <w:r w:rsidRPr="00281E80">
              <w:rPr>
                <w:i/>
                <w:sz w:val="18"/>
              </w:rPr>
              <w:t xml:space="preserve"> exceeds the pipe full capacity are to </w:t>
            </w:r>
            <w:r w:rsidRPr="00281E80">
              <w:rPr>
                <w:i/>
                <w:sz w:val="18"/>
              </w:rPr>
              <w:lastRenderedPageBreak/>
              <w:t xml:space="preserve">be identified both in the tabular data, and on a map of the Network Assessment Extent. Pipes with assumed data are to be identified separately to those with known data. </w:t>
            </w:r>
          </w:p>
        </w:tc>
      </w:tr>
      <w:tr w:rsidR="00555983" w:rsidRPr="00E85877" w:rsidTr="00656E81">
        <w:trPr>
          <w:trHeight w:val="766"/>
        </w:trPr>
        <w:tc>
          <w:tcPr>
            <w:tcW w:w="9708" w:type="dxa"/>
            <w:gridSpan w:val="4"/>
            <w:vAlign w:val="center"/>
          </w:tcPr>
          <w:p w:rsidR="00555983" w:rsidRDefault="00555983" w:rsidP="00656E81">
            <w:pPr>
              <w:rPr>
                <w:b/>
              </w:rPr>
            </w:pPr>
            <w:r>
              <w:rPr>
                <w:b/>
              </w:rPr>
              <w:lastRenderedPageBreak/>
              <w:t>Further wastewater comments:</w:t>
            </w:r>
          </w:p>
          <w:p w:rsidR="00555983" w:rsidRPr="00E85877" w:rsidRDefault="00555983" w:rsidP="00656E81">
            <w:pPr>
              <w:rPr>
                <w:b/>
              </w:rPr>
            </w:pPr>
          </w:p>
        </w:tc>
      </w:tr>
    </w:tbl>
    <w:p w:rsidR="00555983" w:rsidRDefault="00555983" w:rsidP="00555983">
      <w:pPr>
        <w:spacing w:after="0"/>
        <w:ind w:left="-567"/>
        <w:rPr>
          <w:i/>
        </w:rPr>
      </w:pPr>
    </w:p>
    <w:p w:rsidR="00B900B4" w:rsidRDefault="00B900B4"/>
    <w:sectPr w:rsidR="00B90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1AF"/>
    <w:multiLevelType w:val="hybridMultilevel"/>
    <w:tmpl w:val="2ADC879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087965"/>
    <w:multiLevelType w:val="hybridMultilevel"/>
    <w:tmpl w:val="5FBE65E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727BBB"/>
    <w:multiLevelType w:val="hybridMultilevel"/>
    <w:tmpl w:val="053648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05849"/>
    <w:multiLevelType w:val="hybridMultilevel"/>
    <w:tmpl w:val="74AE9F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83"/>
    <w:rsid w:val="00555983"/>
    <w:rsid w:val="00B9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59DA6-D82B-4773-A3DF-C603195B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983"/>
    <w:pPr>
      <w:spacing w:before="120" w:after="200" w:line="276" w:lineRule="auto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rsid w:val="0055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Watercare Services Limited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JDeVilliers (Jean)</dc:creator>
  <cp:keywords/>
  <dc:description/>
  <cp:lastModifiedBy>JDeVilliers (Jean)</cp:lastModifiedBy>
  <cp:revision>1</cp:revision>
  <dcterms:created xsi:type="dcterms:W3CDTF">2017-08-28T23:07:00Z</dcterms:created>
  <dcterms:modified xsi:type="dcterms:W3CDTF">2017-08-28T23:08:00Z</dcterms:modified>
</cp:coreProperties>
</file>